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r>
      <w:r/>
    </w:p>
    <w:p>
      <w:pPr>
        <w:jc w:val="right"/>
        <w:rPr>
          <w:rFonts w:hint="eastAsia" w:ascii="宋体" w:hAnsi="宋体"/>
          <w:b/>
          <w:bCs/>
          <w:color w:val="000000" w:themeColor="text1"/>
          <w:sz w:val="36"/>
        </w:rPr>
      </w:pPr>
      <w:r>
        <w:rPr>
          <w:rFonts w:hint="eastAsia" w:ascii="宋体" w:hAnsi="宋体"/>
          <w:b/>
          <w:bCs/>
          <w:color w:val="000000" w:themeColor="text1"/>
          <w:sz w:val="36"/>
        </w:rPr>
        <w:t xml:space="preserve">编号：</w:t>
      </w:r>
      <w:r>
        <w:rPr>
          <w:rFonts w:hint="eastAsia" w:ascii="宋体" w:hAnsi="宋体"/>
          <w:b/>
          <w:bCs/>
          <w:color w:val="000000" w:themeColor="text1"/>
          <w:sz w:val="36"/>
        </w:rPr>
        <w:t xml:space="preserve">JSZC-321012-YZKD-G2025-0033</w:t>
      </w:r>
      <w:r/>
    </w:p>
    <w:p>
      <w:pPr>
        <w:jc w:val="center"/>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2025年中央粮油生产保障和中央防灾救灾第三批专项资金采购项目</w:t>
      </w:r>
      <w:r>
        <w:rPr>
          <w:rFonts w:hint="eastAsia" w:ascii="宋体" w:hAnsi="宋体"/>
          <w:b/>
          <w:bCs/>
          <w:color w:val="000000" w:themeColor="text1"/>
          <w:sz w:val="36"/>
        </w:rPr>
        <w:t xml:space="preserve">公开招标文件</w:t>
      </w:r>
      <w:r/>
    </w:p>
    <w:p>
      <w:pPr>
        <w:pStyle w:val="937"/>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6"/>
        </w:rPr>
      </w:pPr>
      <w:r>
        <w:rPr>
          <w:rFonts w:ascii="宋体" w:hAnsi="宋体"/>
          <w:color w:val="000000" w:themeColor="text1"/>
        </w:rPr>
        <mc:AlternateContent>
          <mc:Choice Requires="wpg">
            <w:drawing>
              <wp:inline xmlns:wp="http://schemas.openxmlformats.org/drawingml/2006/wordprocessingDrawing" distT="0" distB="0" distL="0" distR="0">
                <wp:extent cx="5238750" cy="393382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523875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5pt;height:309.8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000000" w:themeColor="text1"/>
          <w:sz w:val="36"/>
        </w:rPr>
      </w:pPr>
      <w:r>
        <w:rPr>
          <w:rFonts w:hint="eastAsia" w:ascii="宋体" w:hAnsi="宋体"/>
          <w:color w:val="000000" w:themeColor="text1"/>
          <w:sz w:val="36"/>
        </w:rPr>
      </w:r>
      <w:r/>
    </w:p>
    <w:p>
      <w:pPr>
        <w:pStyle w:val="744"/>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扬州市科达工程咨询有限公司</w:t>
      </w:r>
      <w:r/>
    </w:p>
    <w:p>
      <w:pPr>
        <w:jc w:val="center"/>
        <w:spacing w:line="360" w:lineRule="auto"/>
        <w:rPr>
          <w:rFonts w:hint="eastAsia" w:ascii="宋体" w:hAnsi="宋体"/>
          <w:color w:val="000000" w:themeColor="text1"/>
          <w:sz w:val="36"/>
        </w:rPr>
      </w:pPr>
      <w:r>
        <w:rPr>
          <w:rFonts w:hint="eastAsia" w:ascii="宋体" w:hAnsi="宋体"/>
          <w:b/>
          <w:bCs/>
          <w:color w:val="000000" w:themeColor="text1"/>
          <w:sz w:val="36"/>
        </w:rPr>
        <w:t xml:space="preserve">2025年11月</w:t>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rPr>
      </w:r>
      <w:r/>
    </w:p>
    <w:p>
      <w:pPr>
        <w:jc w:val="center"/>
        <w:spacing w:line="480" w:lineRule="auto"/>
        <w:rPr>
          <w:rFonts w:hint="eastAsia" w:ascii="宋体" w:hAnsi="宋体"/>
          <w:color w:val="000000" w:themeColor="text1"/>
          <w:sz w:val="32"/>
        </w:rPr>
      </w:pPr>
      <w:r>
        <w:rPr>
          <w:rFonts w:hint="eastAsia" w:ascii="宋体" w:hAnsi="宋体"/>
          <w:color w:val="000000" w:themeColor="text1"/>
          <w:sz w:val="32"/>
        </w:rPr>
        <w:t xml:space="preserve">目 录</w:t>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36"/>
          <w:szCs w:val="28"/>
        </w:rPr>
        <w:fldChar w:fldCharType="begin"/>
      </w:r>
      <w:r>
        <w:rPr>
          <w:rFonts w:hint="eastAsia" w:ascii="宋体" w:hAnsi="宋体"/>
          <w:color w:val="000000" w:themeColor="text1"/>
          <w:sz w:val="36"/>
          <w:szCs w:val="28"/>
        </w:rPr>
        <w:instrText xml:space="preserve"> TOC \o "1-3" \f </w:instrText>
      </w:r>
      <w:r>
        <w:rPr>
          <w:rFonts w:hint="eastAsia" w:ascii="宋体" w:hAnsi="宋体"/>
          <w:color w:val="000000" w:themeColor="text1"/>
          <w:sz w:val="36"/>
          <w:szCs w:val="28"/>
        </w:rPr>
        <w:fldChar w:fldCharType="separate"/>
      </w:r>
      <w:r>
        <w:rPr>
          <w:rFonts w:hint="eastAsia" w:ascii="宋体" w:hAnsi="宋体"/>
          <w:color w:val="000000" w:themeColor="text1"/>
          <w:sz w:val="24"/>
          <w:szCs w:val="28"/>
        </w:rPr>
        <w:t xml:space="preserve">第一章 招标公告</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_Toc190211624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3</w:t>
      </w:r>
      <w:r>
        <w:rPr>
          <w:rFonts w:hint="eastAsia"/>
          <w:color w:val="000000" w:themeColor="text1"/>
          <w:sz w:val="24"/>
          <w:szCs w:val="28"/>
        </w:rPr>
        <w:fldChar w:fldCharType="end"/>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第二章 投标人须知</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_Toc190211625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7</w:t>
      </w:r>
      <w:r>
        <w:rPr>
          <w:rFonts w:hint="eastAsia"/>
          <w:color w:val="000000" w:themeColor="text1"/>
          <w:sz w:val="24"/>
          <w:szCs w:val="28"/>
        </w:rPr>
        <w:fldChar w:fldCharType="end"/>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第三章 合同条款及格式</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_Toc190211626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18</w:t>
      </w:r>
      <w:r>
        <w:rPr>
          <w:rFonts w:hint="eastAsia"/>
          <w:color w:val="000000" w:themeColor="text1"/>
          <w:sz w:val="24"/>
          <w:szCs w:val="28"/>
        </w:rPr>
        <w:fldChar w:fldCharType="end"/>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第四章 项目需求</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_Toc190211627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23</w:t>
      </w:r>
      <w:r>
        <w:rPr>
          <w:rFonts w:hint="eastAsia"/>
          <w:color w:val="000000" w:themeColor="text1"/>
          <w:sz w:val="24"/>
          <w:szCs w:val="28"/>
        </w:rPr>
        <w:fldChar w:fldCharType="end"/>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第五章 评标方法及评标标准</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_Toc190211628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26</w:t>
      </w:r>
      <w:r>
        <w:rPr>
          <w:rFonts w:hint="eastAsia"/>
          <w:color w:val="000000" w:themeColor="text1"/>
          <w:sz w:val="24"/>
          <w:szCs w:val="28"/>
        </w:rPr>
        <w:fldChar w:fldCharType="end"/>
      </w:r>
      <w:r/>
    </w:p>
    <w:p>
      <w:pPr>
        <w:pStyle w:val="770"/>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第六章 投标文件格式</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_Toc190211629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29</w:t>
      </w:r>
      <w:r>
        <w:rPr>
          <w:rFonts w:hint="eastAsia"/>
          <w:color w:val="000000" w:themeColor="text1"/>
          <w:sz w:val="24"/>
          <w:szCs w:val="28"/>
        </w:rPr>
        <w:fldChar w:fldCharType="end"/>
      </w:r>
      <w:r/>
    </w:p>
    <w:p>
      <w:pPr>
        <w:pStyle w:val="776"/>
        <w:ind w:left="0"/>
        <w:spacing w:after="0" w:line="360" w:lineRule="auto"/>
        <w:tabs>
          <w:tab w:val="right" w:pos="8296" w:leader="dot"/>
        </w:tabs>
        <w:rPr>
          <w:rFonts w:asciiTheme="minorHAnsi" w:hAnsiTheme="minorHAnsi" w:eastAsiaTheme="minorEastAsia" w:cstheme="minorBidi"/>
          <w:color w:val="000000" w:themeColor="text1"/>
          <w:sz w:val="28"/>
          <w:szCs w:val="32"/>
        </w:rPr>
      </w:pPr>
      <w:r>
        <w:rPr>
          <w:rFonts w:asciiTheme="minorHAnsi" w:hAnsiTheme="minorHAnsi" w:eastAsiaTheme="minorEastAsia" w:cstheme="minorBidi"/>
          <w:color w:val="000000" w:themeColor="text1"/>
          <w:sz w:val="28"/>
          <w:szCs w:val="32"/>
        </w:rPr>
      </w:r>
      <w:r/>
    </w:p>
    <w:p>
      <w:pPr>
        <w:spacing w:line="360" w:lineRule="auto"/>
        <w:rPr>
          <w:rFonts w:hint="eastAsia" w:ascii="宋体" w:hAnsi="宋体"/>
          <w:color w:val="000000" w:themeColor="text1"/>
          <w:sz w:val="28"/>
        </w:rPr>
      </w:pPr>
      <w:r>
        <w:rPr>
          <w:rFonts w:hint="eastAsia" w:ascii="宋体" w:hAnsi="宋体"/>
          <w:color w:val="000000" w:themeColor="text1"/>
          <w:sz w:val="36"/>
          <w:szCs w:val="28"/>
        </w:rPr>
        <w:fldChar w:fldCharType="end"/>
      </w:r>
      <w:r/>
    </w:p>
    <w:p>
      <w:pPr>
        <w:rPr>
          <w:rFonts w:hint="eastAsia" w:ascii="宋体" w:hAnsi="宋体"/>
          <w:color w:val="000000" w:themeColor="text1"/>
        </w:rPr>
      </w:pPr>
      <w:r>
        <w:rPr>
          <w:rFonts w:hint="eastAsia" w:ascii="宋体" w:hAnsi="宋体"/>
          <w:color w:val="000000" w:themeColor="text1"/>
          <w:sz w:val="28"/>
        </w:rPr>
        <w:br w:type="page" w:clear="all"/>
      </w:r>
      <w:r/>
    </w:p>
    <w:p>
      <w:pPr>
        <w:pStyle w:val="742"/>
        <w:jc w:val="center"/>
        <w:spacing w:line="360" w:lineRule="auto"/>
        <w:rPr>
          <w:rFonts w:hint="eastAsia" w:ascii="宋体" w:hAnsi="宋体"/>
          <w:color w:val="000000" w:themeColor="text1"/>
          <w:szCs w:val="36"/>
        </w:rPr>
      </w:pPr>
      <w:r/>
      <w:bookmarkStart w:id="0" w:name="_Toc55204177"/>
      <w:r/>
      <w:bookmarkStart w:id="1" w:name="_Toc190211624"/>
      <w:r>
        <w:rPr>
          <w:rFonts w:hint="eastAsia" w:ascii="宋体" w:hAnsi="宋体"/>
          <w:color w:val="000000" w:themeColor="text1"/>
          <w:szCs w:val="36"/>
        </w:rPr>
        <w:t xml:space="preserve">第一章 </w:t>
      </w:r>
      <w:r>
        <w:rPr>
          <w:rFonts w:ascii="宋体" w:hAnsi="宋体"/>
          <w:color w:val="000000" w:themeColor="text1"/>
          <w:szCs w:val="36"/>
        </w:rPr>
        <w:t xml:space="preserve">JSZC-321012-YZKD-G2025-0033</w:t>
      </w:r>
      <w:r>
        <w:rPr>
          <w:rFonts w:hint="eastAsia" w:ascii="宋体" w:hAnsi="宋体"/>
          <w:color w:val="000000" w:themeColor="text1"/>
          <w:szCs w:val="36"/>
        </w:rPr>
        <w:t xml:space="preserve"> </w:t>
      </w:r>
      <w:r>
        <w:rPr>
          <w:rFonts w:hint="eastAsia" w:ascii="宋体" w:hAnsi="宋体"/>
          <w:color w:val="000000" w:themeColor="text1"/>
          <w:szCs w:val="36"/>
        </w:rPr>
        <w:t xml:space="preserve">2025年中央粮油生产保障和中央防灾救灾第三批专项资金采购项目</w:t>
      </w:r>
      <w:r>
        <w:rPr>
          <w:rFonts w:hint="eastAsia" w:ascii="宋体" w:hAnsi="宋体"/>
          <w:color w:val="000000" w:themeColor="text1"/>
          <w:szCs w:val="36"/>
        </w:rPr>
        <w:t xml:space="preserve">招标公告</w:t>
      </w:r>
      <w:bookmarkEnd w:id="0"/>
      <w:r/>
      <w:bookmarkEnd w:id="1"/>
      <w:r/>
      <w:r/>
    </w:p>
    <w:p>
      <w:pPr>
        <w:ind w:firstLine="420"/>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扬州市江都区农业技术综合服务中心</w:t>
      </w:r>
      <w:r>
        <w:rPr>
          <w:rFonts w:hint="eastAsia" w:ascii="宋体" w:hAnsi="宋体" w:cs="宋体"/>
          <w:color w:val="000000" w:themeColor="text1"/>
        </w:rPr>
        <w:t xml:space="preserve">的委托，</w:t>
      </w:r>
      <w:r>
        <w:rPr>
          <w:rFonts w:hint="eastAsia" w:ascii="宋体" w:hAnsi="宋体" w:cs="宋体"/>
          <w:color w:val="000000" w:themeColor="text1"/>
        </w:rPr>
        <w:t xml:space="preserve">扬州市科达工程咨询有限公司</w:t>
      </w:r>
      <w:r>
        <w:rPr>
          <w:rFonts w:hint="eastAsia" w:ascii="宋体" w:hAnsi="宋体" w:cs="宋体"/>
          <w:color w:val="000000" w:themeColor="text1"/>
        </w:rPr>
        <w:t xml:space="preserve">就</w:t>
      </w:r>
      <w:r>
        <w:rPr>
          <w:rFonts w:hint="eastAsia" w:ascii="宋体" w:hAnsi="宋体" w:cs="宋体"/>
          <w:color w:val="000000" w:themeColor="text1"/>
        </w:rPr>
        <w:t xml:space="preserve">2025年中央粮油生产保障和中央防灾救灾第三批专项资金采购项目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hint="eastAsia" w:ascii="宋体" w:hAnsi="宋体" w:cs="宋体"/>
          <w:b/>
          <w:bCs/>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rPr>
        <w:t xml:space="preserve">项目概况</w:t>
      </w:r>
      <w:r/>
    </w:p>
    <w:p>
      <w:pPr>
        <w:ind w:firstLine="420"/>
        <w:spacing w:line="360" w:lineRule="auto"/>
        <w:rPr>
          <w:rFonts w:hint="eastAsia" w:ascii="宋体" w:hAnsi="宋体" w:cs="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rPr>
        <w:t xml:space="preserve">2025年中央粮油生产保障和中央防灾救灾第三批专项资金采购项目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“扬州市政府采购网”、“江苏政府采购网”</w:t>
      </w:r>
      <w:r>
        <w:rPr>
          <w:rFonts w:hint="eastAsia"/>
          <w:u w:val="single"/>
        </w:rPr>
        <w:t xml:space="preserve">、</w:t>
      </w:r>
      <w:r>
        <w:rPr>
          <w:rFonts w:hint="eastAsia" w:ascii="宋体" w:hAnsi="宋体" w:cs="宋体"/>
          <w:color w:val="000000" w:themeColor="text1"/>
          <w:u w:val="single"/>
        </w:rPr>
        <w:t xml:space="preserve">“中国政府采购网”</w:t>
      </w:r>
      <w:r>
        <w:rPr>
          <w:rFonts w:hint="eastAsia" w:ascii="宋体" w:hAnsi="宋体" w:cs="宋体"/>
          <w:color w:val="000000" w:themeColor="text1"/>
          <w:u w:val="single"/>
        </w:rPr>
        <w:t xml:space="preserve">自行免费下载</w:t>
      </w:r>
      <w:r>
        <w:rPr>
          <w:rFonts w:hint="eastAsia" w:ascii="宋体" w:hAnsi="宋体" w:cs="宋体"/>
          <w:color w:val="000000" w:themeColor="text1"/>
          <w:u w:val="single"/>
        </w:rPr>
        <w:t xml:space="preserve">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2025年12月15日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hint="eastAsia" w:ascii="宋体" w:hAnsi="宋体" w:cs="宋体"/>
          <w:b/>
          <w:bCs/>
          <w:color w:val="000000" w:themeColor="text1"/>
        </w:rPr>
      </w:pPr>
      <w:r/>
      <w:bookmarkStart w:id="2" w:name="_Toc28359002"/>
      <w:r/>
      <w:bookmarkStart w:id="3" w:name="_Toc28359079"/>
      <w:r/>
      <w:bookmarkStart w:id="4" w:name="_Toc35393621"/>
      <w:r/>
      <w:bookmarkStart w:id="5" w:name="_Toc38985263"/>
      <w:r/>
      <w:bookmarkStart w:id="6" w:name="_Toc35393790"/>
      <w:r/>
      <w:bookmarkStart w:id="7" w:name="_Hlk24379207"/>
      <w:r/>
      <w:bookmarkStart w:id="8" w:name="_Hlk153388184"/>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color w:val="000000" w:themeColor="text1"/>
          <w:szCs w:val="21"/>
        </w:rPr>
      </w:pPr>
      <w:r/>
      <w:bookmarkStart w:id="9" w:name="OLE_LINK2"/>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JSZC-321012-YZKD-G2025-0033</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2025年中央粮油生产保障和中央防灾救灾第三批专项资金采购项目</w:t>
      </w:r>
      <w:r/>
    </w:p>
    <w:p>
      <w:pPr>
        <w:ind w:firstLine="420"/>
        <w:spacing w:line="360" w:lineRule="auto"/>
        <w:rPr>
          <w:rFonts w:hint="eastAsia" w:ascii="宋体" w:hAnsi="宋体" w:cs="宋体"/>
          <w:color w:val="000000" w:themeColor="text1"/>
        </w:rPr>
      </w:pPr>
      <w:r/>
      <w:bookmarkStart w:id="10" w:name="OLE_LINK1"/>
      <w:r/>
      <w:bookmarkEnd w:id="7"/>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715.00万元</w:t>
      </w:r>
      <w:bookmarkStart w:id="11" w:name="OLE_LINK9"/>
      <w:r/>
      <w:bookmarkStart w:id="12" w:name="OLE_LINK10"/>
      <w:r>
        <w:rPr>
          <w:rFonts w:hint="eastAsia" w:ascii="宋体" w:hAnsi="宋体" w:cs="宋体"/>
          <w:color w:val="000000" w:themeColor="text1"/>
        </w:rPr>
        <w:t xml:space="preserve">（</w:t>
      </w:r>
      <w:bookmarkStart w:id="13" w:name="OLE_LINK7"/>
      <w:r/>
      <w:bookmarkStart w:id="14" w:name="OLE_LINK8"/>
      <w:r>
        <w:rPr>
          <w:rFonts w:hint="eastAsia" w:ascii="宋体" w:hAnsi="宋体" w:cs="宋体"/>
          <w:color w:val="000000" w:themeColor="text1"/>
        </w:rPr>
        <w:t xml:space="preserve">采购</w:t>
      </w:r>
      <w:r>
        <w:rPr>
          <w:rFonts w:hint="eastAsia" w:ascii="宋体" w:hAnsi="宋体" w:cs="宋体"/>
          <w:color w:val="000000" w:themeColor="text1"/>
        </w:rPr>
        <w:t xml:space="preserve">包1：</w:t>
      </w:r>
      <w:r>
        <w:rPr>
          <w:rFonts w:hint="eastAsia" w:ascii="宋体" w:hAnsi="宋体" w:cs="宋体"/>
          <w:color w:val="000000" w:themeColor="text1"/>
        </w:rPr>
        <w:t xml:space="preserve">115.00万元；</w:t>
      </w:r>
      <w:r>
        <w:rPr>
          <w:rFonts w:hint="eastAsia" w:ascii="宋体" w:hAnsi="宋体" w:cs="宋体"/>
          <w:color w:val="000000" w:themeColor="text1"/>
        </w:rPr>
        <w:t xml:space="preserve">采购</w:t>
      </w:r>
      <w:r>
        <w:rPr>
          <w:rFonts w:hint="eastAsia" w:ascii="宋体" w:hAnsi="宋体" w:cs="宋体"/>
          <w:color w:val="000000" w:themeColor="text1"/>
        </w:rPr>
        <w:t xml:space="preserve">包2：</w:t>
      </w:r>
      <w:r>
        <w:rPr>
          <w:rFonts w:hint="eastAsia" w:ascii="宋体" w:hAnsi="宋体" w:cs="宋体"/>
          <w:color w:val="000000" w:themeColor="text1"/>
        </w:rPr>
        <w:t xml:space="preserve">110.00万元；</w:t>
      </w:r>
      <w:r>
        <w:rPr>
          <w:rFonts w:hint="eastAsia" w:ascii="宋体" w:hAnsi="宋体" w:cs="宋体"/>
          <w:color w:val="000000" w:themeColor="text1"/>
        </w:rPr>
        <w:t xml:space="preserve">采购包3：</w:t>
      </w:r>
      <w:r>
        <w:rPr>
          <w:rFonts w:hint="eastAsia" w:ascii="宋体" w:hAnsi="宋体" w:cs="宋体"/>
          <w:color w:val="000000" w:themeColor="text1"/>
        </w:rPr>
        <w:t xml:space="preserve">55.00万元；</w:t>
      </w:r>
      <w:r>
        <w:rPr>
          <w:rFonts w:hint="eastAsia" w:ascii="宋体" w:hAnsi="宋体" w:cs="宋体"/>
          <w:color w:val="000000" w:themeColor="text1"/>
        </w:rPr>
        <w:t xml:space="preserve">采购包4：</w:t>
      </w:r>
      <w:r>
        <w:rPr>
          <w:rFonts w:hint="eastAsia" w:ascii="宋体" w:hAnsi="宋体" w:cs="宋体"/>
          <w:color w:val="000000" w:themeColor="text1"/>
        </w:rPr>
        <w:t xml:space="preserve">278.00万元；</w:t>
      </w:r>
      <w:r>
        <w:rPr>
          <w:rFonts w:hint="eastAsia" w:ascii="宋体" w:hAnsi="宋体" w:cs="宋体"/>
          <w:color w:val="000000" w:themeColor="text1"/>
        </w:rPr>
        <w:t xml:space="preserve">采购包5：85.00万元；采购包6：72.00万元</w:t>
      </w:r>
      <w:bookmarkEnd w:id="13"/>
      <w:r/>
      <w:bookmarkEnd w:id="14"/>
      <w:r>
        <w:rPr>
          <w:rFonts w:hint="eastAsia" w:ascii="宋体" w:hAnsi="宋体" w:cs="宋体"/>
          <w:color w:val="000000" w:themeColor="text1"/>
        </w:rPr>
        <w:t xml:space="preserve">）</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最高限价：</w:t>
      </w:r>
      <w:bookmarkEnd w:id="10"/>
      <w:r>
        <w:rPr>
          <w:rFonts w:hint="eastAsia" w:ascii="宋体" w:hAnsi="宋体" w:cs="宋体"/>
          <w:color w:val="000000" w:themeColor="text1"/>
        </w:rPr>
        <w:t xml:space="preserve">本项目设定最高限价单价</w:t>
      </w:r>
      <w:r>
        <w:rPr>
          <w:rFonts w:hint="eastAsia" w:ascii="宋体" w:hAnsi="宋体" w:cs="宋体"/>
          <w:color w:val="000000" w:themeColor="text1"/>
        </w:rPr>
        <w:t xml:space="preserve">：</w:t>
      </w:r>
      <w:r>
        <w:rPr>
          <w:rFonts w:hint="eastAsia" w:ascii="宋体" w:hAnsi="宋体" w:cs="宋体"/>
          <w:color w:val="000000" w:themeColor="text1"/>
        </w:rPr>
        <w:t xml:space="preserve">采购包1：</w:t>
      </w:r>
      <w:r>
        <w:rPr>
          <w:rFonts w:hint="eastAsia" w:ascii="宋体" w:hAnsi="宋体" w:cs="宋体"/>
          <w:color w:val="000000" w:themeColor="text1"/>
        </w:rPr>
        <w:t xml:space="preserve">肟菌·戊唑醇300000.00元/吨；</w:t>
      </w:r>
      <w:r>
        <w:rPr>
          <w:rFonts w:hint="eastAsia" w:ascii="宋体" w:hAnsi="宋体" w:cs="宋体"/>
          <w:color w:val="000000" w:themeColor="text1"/>
        </w:rPr>
        <w:t xml:space="preserve">采购包2：</w:t>
      </w:r>
      <w:r>
        <w:rPr>
          <w:rFonts w:hint="eastAsia" w:ascii="宋体" w:hAnsi="宋体" w:cs="宋体"/>
          <w:color w:val="000000" w:themeColor="text1"/>
        </w:rPr>
        <w:t xml:space="preserve">井冈·戊唑醇90000.00元/吨；</w:t>
      </w:r>
      <w:r>
        <w:rPr>
          <w:rFonts w:hint="eastAsia" w:ascii="宋体" w:hAnsi="宋体" w:cs="宋体"/>
          <w:color w:val="000000" w:themeColor="text1"/>
        </w:rPr>
        <w:t xml:space="preserve">采购包3：</w:t>
      </w:r>
      <w:r>
        <w:rPr>
          <w:rFonts w:hint="eastAsia" w:ascii="宋体" w:hAnsi="宋体" w:cs="宋体"/>
          <w:color w:val="000000" w:themeColor="text1"/>
        </w:rPr>
        <w:t xml:space="preserve">30%</w:t>
      </w:r>
      <w:r>
        <w:rPr>
          <w:rFonts w:hint="eastAsia" w:ascii="宋体" w:hAnsi="宋体" w:cs="宋体"/>
          <w:color w:val="000000" w:themeColor="text1"/>
        </w:rPr>
        <w:t xml:space="preserve">丙硫菌唑</w:t>
      </w:r>
      <w:r>
        <w:rPr>
          <w:rFonts w:hint="eastAsia" w:ascii="宋体" w:hAnsi="宋体" w:cs="宋体"/>
          <w:color w:val="000000" w:themeColor="text1"/>
        </w:rPr>
        <w:t xml:space="preserve">（带伴侣）155</w:t>
      </w:r>
      <w:r>
        <w:rPr>
          <w:rFonts w:hint="eastAsia" w:ascii="宋体" w:hAnsi="宋体" w:cs="宋体"/>
          <w:color w:val="000000" w:themeColor="text1"/>
        </w:rPr>
        <w:t xml:space="preserve">000.00元/吨；</w:t>
      </w:r>
      <w:r>
        <w:rPr>
          <w:rFonts w:hint="eastAsia" w:ascii="宋体" w:hAnsi="宋体" w:cs="宋体"/>
          <w:color w:val="000000" w:themeColor="text1"/>
        </w:rPr>
        <w:t xml:space="preserve">采购包4：</w:t>
      </w:r>
      <w:r>
        <w:rPr>
          <w:rFonts w:hint="eastAsia" w:ascii="宋体" w:hAnsi="宋体" w:cs="宋体"/>
          <w:color w:val="000000" w:themeColor="text1"/>
        </w:rPr>
        <w:t xml:space="preserve">200克/升</w:t>
      </w:r>
      <w:r>
        <w:rPr>
          <w:rFonts w:hint="eastAsia" w:ascii="宋体" w:hAnsi="宋体" w:cs="宋体"/>
          <w:color w:val="000000" w:themeColor="text1"/>
        </w:rPr>
        <w:t xml:space="preserve">氟唑菌酰羟胺500000.00元/吨；</w:t>
      </w:r>
      <w:r>
        <w:rPr>
          <w:rFonts w:hint="eastAsia" w:ascii="宋体" w:hAnsi="宋体" w:cs="宋体"/>
          <w:color w:val="000000" w:themeColor="text1"/>
        </w:rPr>
        <w:t xml:space="preserve">采购包5：</w:t>
      </w:r>
      <w:r>
        <w:rPr>
          <w:rFonts w:hint="eastAsia" w:ascii="宋体" w:hAnsi="宋体" w:cs="宋体"/>
          <w:color w:val="000000" w:themeColor="text1"/>
        </w:rPr>
        <w:t xml:space="preserve">戊唑·嘧菌酯</w:t>
      </w:r>
      <w:r>
        <w:rPr>
          <w:rFonts w:hint="eastAsia" w:ascii="宋体" w:hAnsi="宋体" w:cs="宋体"/>
          <w:color w:val="000000" w:themeColor="text1"/>
        </w:rPr>
        <w:t xml:space="preserve">350000.00元/吨</w:t>
      </w:r>
      <w:r>
        <w:rPr>
          <w:rFonts w:hint="eastAsia" w:ascii="宋体" w:hAnsi="宋体" w:cs="宋体"/>
          <w:color w:val="000000" w:themeColor="text1"/>
        </w:rPr>
        <w:t xml:space="preserve">；采购包6：</w:t>
      </w:r>
      <w:r>
        <w:rPr>
          <w:rFonts w:hint="eastAsia" w:ascii="宋体" w:hAnsi="宋体" w:cs="宋体"/>
          <w:color w:val="000000" w:themeColor="text1"/>
        </w:rPr>
        <w:t xml:space="preserve">稻瘟·三环唑</w:t>
      </w:r>
      <w:r>
        <w:rPr>
          <w:rFonts w:hint="eastAsia" w:ascii="宋体" w:hAnsi="宋体" w:cs="宋体"/>
          <w:color w:val="000000" w:themeColor="text1"/>
        </w:rPr>
        <w:t xml:space="preserve">80000.00元/吨</w:t>
      </w:r>
      <w:r>
        <w:rPr>
          <w:rFonts w:hint="eastAsia" w:ascii="宋体" w:hAnsi="宋体" w:cs="宋体"/>
          <w:color w:val="000000" w:themeColor="text1"/>
        </w:rPr>
        <w:t xml:space="preserve">。</w:t>
      </w:r>
      <w:bookmarkEnd w:id="11"/>
      <w:r/>
      <w:bookmarkEnd w:id="12"/>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ff0000"/>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5日历天</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hint="eastAsia" w:ascii="宋体" w:hAnsi="宋体" w:cs="宋体"/>
          <w:b/>
          <w:bCs/>
          <w:color w:val="000000" w:themeColor="text1"/>
        </w:rPr>
      </w:pPr>
      <w:r/>
      <w:bookmarkStart w:id="15" w:name="_Toc35393791"/>
      <w:r/>
      <w:bookmarkStart w:id="16" w:name="_Toc28359080"/>
      <w:r/>
      <w:bookmarkStart w:id="17" w:name="_Toc35393622"/>
      <w:r/>
      <w:bookmarkStart w:id="18" w:name="_Toc28359003"/>
      <w:r/>
      <w:bookmarkStart w:id="19" w:name="_Toc38985264"/>
      <w:r/>
      <w:bookmarkEnd w:id="8"/>
      <w:r/>
      <w:bookmarkEnd w:id="9"/>
      <w:r>
        <w:rPr>
          <w:rFonts w:hint="eastAsia" w:ascii="宋体" w:hAnsi="宋体" w:cs="宋体"/>
          <w:b/>
          <w:bCs/>
          <w:color w:val="000000" w:themeColor="text1"/>
        </w:rPr>
        <w:t xml:space="preserve">二、申请人的资格要求：</w:t>
      </w:r>
      <w:bookmarkEnd w:id="15"/>
      <w:r/>
      <w:bookmarkEnd w:id="16"/>
      <w:r/>
      <w:bookmarkEnd w:id="17"/>
      <w:r/>
      <w:bookmarkEnd w:id="18"/>
      <w:r/>
      <w:bookmarkEnd w:id="19"/>
      <w:r/>
      <w:r/>
    </w:p>
    <w:p>
      <w:pPr>
        <w:ind w:firstLine="420"/>
        <w:spacing w:line="360" w:lineRule="auto"/>
        <w:rPr>
          <w:rFonts w:hint="eastAsia" w:ascii="宋体" w:hAnsi="宋体" w:cs="宋体"/>
          <w:color w:val="000000" w:themeColor="text1"/>
          <w:szCs w:val="21"/>
        </w:rPr>
      </w:pPr>
      <w:r/>
      <w:bookmarkStart w:id="20" w:name="_Toc28359081"/>
      <w:r/>
      <w:bookmarkStart w:id="21" w:name="_Toc35393792"/>
      <w:r/>
      <w:bookmarkStart w:id="22" w:name="_Toc28359004"/>
      <w:r/>
      <w:bookmarkStart w:id="23" w:name="_Toc35393623"/>
      <w:r/>
      <w:bookmarkStart w:id="24" w:name="_Toc38985265"/>
      <w:r>
        <w:rPr>
          <w:rFonts w:hint="eastAsia" w:ascii="宋体" w:hAnsi="宋体" w:cs="宋体"/>
          <w:color w:val="000000" w:themeColor="text1"/>
          <w:szCs w:val="21"/>
        </w:rPr>
        <w:t xml:space="preserve">1.满足《中华人民共和国政府采购法》第二十二条规定，并提供下列材料： </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1.3投标人近三个月内任意一份依法纳税的缴款凭证（可提供“基本资格条件承诺函”）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1.4上一年度的财务报告情况（可提供“基本资格条件承诺函”）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1.5具备履行合同所必需的设备和专业技术能力的证明材料（可提供“基本资格条件承诺函”）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ascii="宋体" w:hAnsi="宋体" w:cs="宋体"/>
          <w:i/>
          <w:iCs/>
          <w:color w:val="000000" w:themeColor="text1"/>
          <w:szCs w:val="21"/>
          <w:u w:val="single"/>
        </w:rPr>
        <w:t xml:space="preserve">7</w:t>
      </w:r>
      <w:r>
        <w:rPr>
          <w:rFonts w:hint="eastAsia" w:ascii="宋体" w:hAnsi="宋体" w:cs="宋体"/>
          <w:i/>
          <w:iCs/>
          <w:color w:val="000000" w:themeColor="text1"/>
          <w:szCs w:val="21"/>
          <w:u w:val="single"/>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5" w:name="OLE_LINK6"/>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bookmarkEnd w:id="25"/>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3.本项目的特定资格要求：</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color w:val="000000" w:themeColor="text1"/>
          <w:szCs w:val="21"/>
          <w:u w:val="single"/>
        </w:rPr>
      </w:r>
      <w:r/>
    </w:p>
    <w:p>
      <w:pPr>
        <w:ind w:firstLine="420"/>
        <w:spacing w:line="360" w:lineRule="auto"/>
        <w:rPr>
          <w:rFonts w:hint="eastAsia" w:ascii="宋体" w:hAnsi="宋体" w:cs="宋体"/>
          <w:color w:val="000000" w:themeColor="text1"/>
          <w:szCs w:val="21"/>
        </w:rPr>
      </w:pPr>
      <w:r>
        <w:rPr>
          <w:rFonts w:hint="eastAsia" w:ascii="宋体" w:hAnsi="宋体" w:cs="宋体"/>
          <w:b/>
          <w:bCs/>
          <w:color w:val="000000" w:themeColor="text1"/>
        </w:rPr>
        <w:t xml:space="preserve">三、获取招标文件</w:t>
      </w:r>
      <w:bookmarkEnd w:id="20"/>
      <w:r/>
      <w:bookmarkEnd w:id="21"/>
      <w:r/>
      <w:bookmarkEnd w:id="22"/>
      <w:r/>
      <w:bookmarkEnd w:id="23"/>
      <w:r/>
      <w:bookmarkEnd w:id="24"/>
      <w:r/>
      <w:r/>
    </w:p>
    <w:p>
      <w:pPr>
        <w:ind w:firstLine="420"/>
        <w:spacing w:line="360" w:lineRule="auto"/>
        <w:rPr>
          <w:rFonts w:hint="eastAsia" w:ascii="宋体" w:hAnsi="宋体" w:cs="宋体"/>
          <w:color w:val="000000" w:themeColor="text1"/>
        </w:rPr>
      </w:pPr>
      <w:r/>
      <w:bookmarkStart w:id="26" w:name="_Toc38985266"/>
      <w:r/>
      <w:bookmarkStart w:id="27" w:name="_Toc28359005"/>
      <w:r/>
      <w:bookmarkStart w:id="28" w:name="_Toc35393793"/>
      <w:r/>
      <w:bookmarkStart w:id="29" w:name="_Toc35393624"/>
      <w:r/>
      <w:bookmarkStart w:id="30" w:name="_Toc28359082"/>
      <w:r>
        <w:rPr>
          <w:rFonts w:hint="eastAsia" w:ascii="宋体" w:hAnsi="宋体" w:cs="宋体"/>
          <w:color w:val="000000" w:themeColor="text1"/>
        </w:rPr>
        <w:t xml:space="preserve">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szCs w:val="21"/>
        </w:rPr>
      </w:pPr>
      <w:r/>
      <w:bookmarkStart w:id="31" w:name="_Toc28359007"/>
      <w:r/>
      <w:bookmarkStart w:id="32" w:name="_Toc35393625"/>
      <w:r/>
      <w:bookmarkStart w:id="33" w:name="_Toc35393794"/>
      <w:r/>
      <w:bookmarkStart w:id="34" w:name="_Toc38985267"/>
      <w:r/>
      <w:bookmarkStart w:id="35" w:name="_Toc28359084"/>
      <w:r/>
      <w:bookmarkEnd w:id="26"/>
      <w:r/>
      <w:bookmarkEnd w:id="27"/>
      <w:r/>
      <w:bookmarkEnd w:id="28"/>
      <w:r/>
      <w:bookmarkEnd w:id="29"/>
      <w:r/>
      <w:bookmarkEnd w:id="30"/>
      <w:r>
        <w:rPr>
          <w:rFonts w:hint="eastAsia" w:ascii="宋体" w:hAnsi="宋体" w:cs="宋体"/>
          <w:szCs w:val="21"/>
        </w:rPr>
        <w:t xml:space="preserve">地点：</w:t>
      </w:r>
      <w:r>
        <w:rPr>
          <w:rFonts w:hint="eastAsia" w:ascii="宋体" w:hAnsi="宋体" w:cs="宋体"/>
          <w:szCs w:val="21"/>
        </w:rPr>
        <w:t xml:space="preserve">“扬州市政府采购网”、“江苏政府采购网”、“中国政府采购网”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 </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四、提交投标文件截止时间、开标时间和地点</w:t>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2025年12月15日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w:t>
      </w:r>
      <w:r/>
    </w:p>
    <w:p>
      <w:pPr>
        <w:ind w:firstLine="420"/>
        <w:spacing w:line="360" w:lineRule="auto"/>
        <w:rPr>
          <w:rFonts w:hint="eastAsia" w:ascii="宋体" w:hAnsi="宋体"/>
          <w:b/>
          <w:color w:val="000000" w:themeColor="text1"/>
          <w:szCs w:val="21"/>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“苏采云”系统（网址：</w:t>
      </w:r>
      <w:hyperlink r:id="rId17" w:tooltip="http://jszfcg.jsczt.cn/）" w:history="1">
        <w:r>
          <w:rPr>
            <w:rFonts w:hint="eastAsia" w:ascii="宋体" w:hAnsi="宋体"/>
            <w:b/>
            <w:color w:val="000000" w:themeColor="text1"/>
            <w:szCs w:val="21"/>
          </w:rPr>
          <w:t xml:space="preserve">http://jszfcg.jsczt.cn/）“开标大厅”</w:t>
        </w:r>
      </w:hyperlink>
      <w:r/>
      <w:r/>
    </w:p>
    <w:p>
      <w:pPr>
        <w:spacing w:line="360" w:lineRule="auto"/>
        <w:tabs>
          <w:tab w:val="left" w:pos="266" w:leader="none"/>
        </w:tabs>
        <w:rPr>
          <w:rFonts w:hint="eastAsia" w:ascii="宋体" w:hAnsi="宋体" w:cs="宋体"/>
          <w:b/>
          <w:bCs/>
          <w:color w:val="000000" w:themeColor="text1"/>
        </w:rPr>
      </w:pPr>
      <w:r/>
      <w:bookmarkStart w:id="36" w:name="_Toc38985268"/>
      <w:r/>
      <w:bookmarkStart w:id="37" w:name="_Toc35393795"/>
      <w:r/>
      <w:bookmarkStart w:id="38" w:name="_Toc35393626"/>
      <w:r/>
      <w:bookmarkEnd w:id="31"/>
      <w:r/>
      <w:bookmarkEnd w:id="32"/>
      <w:r/>
      <w:bookmarkEnd w:id="33"/>
      <w:r/>
      <w:bookmarkEnd w:id="34"/>
      <w:r/>
      <w:bookmarkEnd w:id="35"/>
      <w:r>
        <w:rPr>
          <w:rFonts w:hint="eastAsia" w:ascii="宋体" w:hAnsi="宋体" w:cs="宋体"/>
          <w:b/>
          <w:bCs/>
          <w:color w:val="000000" w:themeColor="text1"/>
        </w:rPr>
        <w:t xml:space="preserve">五、公告期限</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6"/>
      <w:r/>
      <w:bookmarkEnd w:id="37"/>
      <w:r/>
      <w:bookmarkEnd w:id="38"/>
      <w:r/>
      <w:r/>
    </w:p>
    <w:p>
      <w:pPr>
        <w:ind w:firstLine="422"/>
        <w:spacing w:line="360" w:lineRule="auto"/>
        <w:rPr>
          <w:rFonts w:hint="eastAsia" w:ascii="宋体" w:hAnsi="宋体" w:cs="宋体"/>
          <w:b/>
          <w:szCs w:val="21"/>
        </w:rPr>
      </w:pPr>
      <w:r/>
      <w:bookmarkStart w:id="39" w:name="_Toc35393796"/>
      <w:r/>
      <w:bookmarkStart w:id="40" w:name="_Toc28359008"/>
      <w:r/>
      <w:bookmarkStart w:id="41" w:name="_Toc38985269"/>
      <w:r/>
      <w:bookmarkStart w:id="42" w:name="_Toc35393627"/>
      <w:r/>
      <w:bookmarkStart w:id="43" w:name="_Toc28359085"/>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rPr>
          <w:rFonts w:hint="eastAsia" w:ascii="宋体" w:hAnsi="宋体" w:cs="宋体"/>
          <w:b/>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（4）潜在供应商访问“苏采云”系统的网络地址和方法：“苏采云”系统的网址：http://jszfcg.jsczt.cn/。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（7）苏采云系统使用谷歌浏览器参与不见面开标。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w:t>
      </w:r>
      <w:r>
        <w:rPr>
          <w:rFonts w:hint="eastAsia" w:ascii="宋体" w:hAnsi="宋体" w:cs="宋体"/>
          <w:bCs/>
        </w:rPr>
        <w:t xml:space="preserve">“扬州市政府采购网”、“江苏政府采购网”、“中国政府采购网”</w:t>
      </w:r>
      <w:r>
        <w:rPr>
          <w:rFonts w:hint="eastAsia" w:ascii="宋体" w:hAnsi="宋体" w:cs="宋体"/>
          <w:bCs/>
        </w:rPr>
        <w:t xml:space="preserve">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七、本次招标联系方式</w:t>
      </w:r>
      <w:bookmarkEnd w:id="39"/>
      <w:r/>
      <w:bookmarkEnd w:id="40"/>
      <w:r/>
      <w:bookmarkEnd w:id="41"/>
      <w:r/>
      <w:bookmarkEnd w:id="42"/>
      <w:r/>
      <w:bookmarkEnd w:id="43"/>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扬州市江都区农业技术综合服务中心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olor w:val="000000" w:themeColor="text1"/>
          <w:szCs w:val="21"/>
        </w:rPr>
        <w:t xml:space="preserve">扬州市江都区东方红路 48 号</w:t>
      </w:r>
      <w:r/>
    </w:p>
    <w:p>
      <w:pPr>
        <w:ind w:firstLine="420"/>
        <w:jc w:val="left"/>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s="宋体"/>
          <w:color w:val="000000" w:themeColor="text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2.代理机构信息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扬州市科达工程咨询有限公司</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扬州市江都区南苑东路9号金牛湾都市花园小区7号商业用房3楼代理部</w:t>
      </w:r>
      <w:r/>
    </w:p>
    <w:p>
      <w:pPr>
        <w:ind w:firstLine="420"/>
        <w:spacing w:line="360" w:lineRule="auto"/>
        <w:rPr>
          <w:rFonts w:hint="eastAsia" w:ascii="宋体" w:hAnsi="宋体" w:cs="宋体"/>
          <w:color w:val="000000" w:themeColor="text1"/>
        </w:rPr>
      </w:pPr>
      <w:r/>
      <w:bookmarkStart w:id="44" w:name="_Toc28359087"/>
      <w:r/>
      <w:bookmarkStart w:id="45" w:name="_Toc28359010"/>
      <w:r>
        <w:rPr>
          <w:rFonts w:hint="eastAsia" w:ascii="宋体" w:hAnsi="宋体" w:cs="宋体"/>
          <w:color w:val="000000" w:themeColor="text1"/>
        </w:rPr>
        <w:t xml:space="preserve">联系人：</w:t>
      </w:r>
      <w:r>
        <w:rPr>
          <w:rFonts w:hint="eastAsia" w:ascii="宋体" w:hAnsi="宋体"/>
          <w:color w:val="000000" w:themeColor="text1"/>
          <w:szCs w:val="21"/>
        </w:rPr>
        <w:t xml:space="preserve">王先生</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olor w:val="000000" w:themeColor="text1"/>
          <w:szCs w:val="21"/>
        </w:rPr>
        <w:t xml:space="preserve">1770525678</w:t>
      </w:r>
      <w:bookmarkEnd w:id="44"/>
      <w:r/>
      <w:bookmarkEnd w:id="45"/>
      <w:r>
        <w:rPr>
          <w:rFonts w:ascii="宋体" w:hAnsi="宋体"/>
          <w:color w:val="000000" w:themeColor="text1"/>
          <w:szCs w:val="21"/>
        </w:rPr>
        <w:t xml:space="preserve">0</w:t>
      </w:r>
      <w:r/>
    </w:p>
    <w:p>
      <w:pPr>
        <w:jc w:val="left"/>
        <w:widowControl/>
        <w:rPr>
          <w:rFonts w:hint="eastAsia" w:ascii="宋体" w:hAnsi="宋体"/>
          <w:b/>
          <w:bCs/>
          <w:color w:val="000000" w:themeColor="text1"/>
          <w:sz w:val="44"/>
          <w:szCs w:val="36"/>
        </w:rPr>
      </w:pPr>
      <w:r/>
      <w:bookmarkStart w:id="46" w:name="_Toc55204178"/>
      <w:r>
        <w:rPr>
          <w:rFonts w:ascii="宋体" w:hAnsi="宋体"/>
          <w:color w:val="000000" w:themeColor="text1"/>
          <w:szCs w:val="36"/>
        </w:rPr>
        <w:br w:type="page" w:clear="all"/>
      </w:r>
      <w:r/>
    </w:p>
    <w:p>
      <w:pPr>
        <w:pStyle w:val="742"/>
        <w:jc w:val="center"/>
        <w:rPr>
          <w:rFonts w:hint="eastAsia" w:ascii="宋体" w:hAnsi="宋体"/>
          <w:color w:val="000000" w:themeColor="text1"/>
          <w:szCs w:val="36"/>
        </w:rPr>
      </w:pPr>
      <w:r/>
      <w:bookmarkStart w:id="47" w:name="_Toc190211625"/>
      <w:r>
        <w:rPr>
          <w:rFonts w:hint="eastAsia" w:ascii="宋体" w:hAnsi="宋体"/>
          <w:color w:val="000000" w:themeColor="text1"/>
          <w:szCs w:val="36"/>
        </w:rPr>
        <w:t xml:space="preserve">第二章 投标人须知</w:t>
      </w:r>
      <w:bookmarkEnd w:id="46"/>
      <w:r/>
      <w:bookmarkEnd w:id="47"/>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bCs/>
          <w:color w:val="000000" w:themeColor="text1"/>
          <w:szCs w:val="21"/>
        </w:rPr>
        <w:t xml:space="preserve">JSZC-321012-YZKD-G2025-0033</w:t>
      </w:r>
      <w:r>
        <w:rPr>
          <w:rFonts w:hint="eastAsia" w:ascii="宋体" w:hAnsi="宋体"/>
          <w:bCs/>
          <w:color w:val="000000" w:themeColor="text1"/>
          <w:szCs w:val="21"/>
        </w:rPr>
        <w:t xml:space="preserve">项目。</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rFonts w:hint="eastAsia" w:ascii="宋体" w:hAnsi="宋体"/>
          <w:color w:val="000000" w:themeColor="text1"/>
        </w:rPr>
      </w:pPr>
      <w:r>
        <w:rPr>
          <w:rFonts w:ascii="宋体" w:hAnsi="宋体"/>
          <w:color w:val="000000" w:themeColor="text1"/>
        </w:rPr>
        <w:t xml:space="preserve">4.1 投标人应自行承担所有与参加投标有关的费用，无论投标过程中的做法和结果如 何，代理机构在任何情况下均无义务和责任承担这些费用。 </w:t>
      </w:r>
      <w:r/>
    </w:p>
    <w:p>
      <w:pPr>
        <w:ind w:firstLine="422"/>
        <w:spacing w:line="440" w:lineRule="exact"/>
        <w:rPr>
          <w:rFonts w:hint="eastAsia" w:ascii="宋体" w:hAnsi="宋体" w:cs="宋体"/>
          <w:b/>
          <w:bCs/>
          <w:color w:val="000000" w:themeColor="text1"/>
          <w:szCs w:val="21"/>
        </w:rPr>
      </w:pPr>
      <w:r>
        <w:rPr>
          <w:rFonts w:hint="eastAsia" w:ascii="宋体" w:hAnsi="宋体"/>
          <w:b/>
          <w:color w:val="000000" w:themeColor="text1"/>
          <w:szCs w:val="21"/>
        </w:rPr>
        <w:t xml:space="preserve">4.2</w:t>
      </w:r>
      <w:r>
        <w:rPr>
          <w:rFonts w:hint="eastAsia" w:ascii="宋体" w:hAnsi="宋体" w:cs="宋体"/>
          <w:b/>
          <w:bCs/>
          <w:color w:val="000000" w:themeColor="text1"/>
          <w:szCs w:val="21"/>
        </w:rPr>
        <w:t xml:space="preserve">本次采购由中标人在领取中标通知书前</w:t>
      </w:r>
      <w:r>
        <w:rPr>
          <w:rFonts w:hint="eastAsia" w:ascii="宋体" w:hAnsi="宋体" w:cs="宋体"/>
          <w:b/>
          <w:bCs/>
          <w:color w:val="000000" w:themeColor="text1"/>
          <w:szCs w:val="21"/>
        </w:rPr>
        <w:t xml:space="preserve">按苏招协【2022】002号文件一次性</w:t>
      </w:r>
      <w:r>
        <w:rPr>
          <w:rFonts w:hint="eastAsia" w:ascii="宋体" w:hAnsi="宋体" w:cs="宋体"/>
          <w:b/>
          <w:bCs/>
          <w:color w:val="000000" w:themeColor="text1"/>
          <w:szCs w:val="21"/>
        </w:rPr>
        <w:t xml:space="preserve">支付给招标代理机构代理服务费</w:t>
      </w:r>
      <w:r>
        <w:rPr>
          <w:rFonts w:hint="eastAsia" w:ascii="宋体" w:hAnsi="宋体" w:cs="宋体"/>
          <w:b/>
          <w:bCs/>
          <w:color w:val="000000" w:themeColor="text1"/>
          <w:szCs w:val="21"/>
        </w:rPr>
        <w:t xml:space="preserve">。</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（1）代理服务费以人民币支付；</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）招标代理服务费不在投标报价中单列，包含在投标总价中，由中标单位支付给代理机构。</w:t>
      </w:r>
      <w:r/>
    </w:p>
    <w:p>
      <w:pPr>
        <w:ind w:firstLine="422"/>
        <w:spacing w:line="440" w:lineRule="exact"/>
        <w:rPr>
          <w:rFonts w:hint="eastAsia" w:ascii="宋体" w:hAnsi="宋体"/>
          <w:b/>
          <w:bCs/>
          <w:color w:val="000000" w:themeColor="text1"/>
          <w:szCs w:val="21"/>
        </w:rPr>
      </w:pPr>
      <w:r>
        <w:rPr>
          <w:rFonts w:hint="eastAsia" w:ascii="宋体" w:hAnsi="宋体" w:cs="宋体"/>
          <w:b/>
          <w:bCs/>
          <w:color w:val="000000" w:themeColor="text1"/>
          <w:szCs w:val="21"/>
        </w:rPr>
        <w:t xml:space="preserve">4.3专家评审费按《扬州市财政局关于进一步规范扬州市政府采购专家评审费标准的通知》（扬财购〔2020〕40号）执行。</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5.1 投标人一旦参加本项目采购活动，即被认为接受了本招标文件的规定和约束。</w:t>
      </w:r>
      <w:r/>
    </w:p>
    <w:p>
      <w:pPr>
        <w:ind w:firstLine="422"/>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6、招标文件构成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6.1 招标文件有以下部分组成：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（2）投标人须知</w:t>
      </w:r>
      <w:r>
        <w:rPr>
          <w:rFonts w:hint="eastAsia" w:ascii="宋体" w:hAnsi="宋体" w:cs="宋体"/>
          <w:color w:val="000000" w:themeColor="text1"/>
          <w:szCs w:val="21"/>
        </w:rPr>
        <w:tab/>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请仔细检查招标文件是否齐全，如有缺漏请立即与代理机构联系解决。</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8.3招标文件的修改将在</w:t>
      </w:r>
      <w:r>
        <w:rPr>
          <w:rFonts w:hint="eastAsia" w:ascii="宋体" w:hAnsi="宋体"/>
          <w:bCs/>
          <w:color w:val="000000" w:themeColor="text1"/>
          <w:szCs w:val="21"/>
        </w:rPr>
        <w:t xml:space="preserve">“</w:t>
      </w:r>
      <w:r>
        <w:rPr>
          <w:rFonts w:hint="eastAsia" w:ascii="宋体" w:hAnsi="宋体"/>
          <w:bCs/>
          <w:color w:val="000000" w:themeColor="text1"/>
          <w:szCs w:val="21"/>
        </w:rPr>
        <w:t xml:space="preserve">扬州市政府采购网”、“江苏省政府采购网”</w:t>
      </w:r>
      <w:r>
        <w:rPr>
          <w:rFonts w:hint="eastAsia" w:ascii="宋体" w:hAnsi="宋体"/>
          <w:bCs/>
          <w:color w:val="000000" w:themeColor="text1"/>
          <w:szCs w:val="21"/>
        </w:rPr>
        <w:t xml:space="preserve">公布，补充文件将作为招标文件的组成部分，并对投标人具有约束力。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bCs/>
          <w:color w:val="000000" w:themeColor="text1"/>
        </w:rPr>
        <w:t xml:space="preserve">分项报价表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12.3其它费用处理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对招标文件中的技术与商务条款要求逐项作出响应或偏离，并说明原因；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13.3 培训计划；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rPr>
      </w:pPr>
      <w:r/>
      <w:bookmarkStart w:id="48" w:name="_Toc513029225"/>
      <w:r/>
      <w:bookmarkStart w:id="49" w:name="_Toc20823297"/>
      <w:r/>
      <w:bookmarkStart w:id="50" w:name="_Toc16938541"/>
      <w:r/>
      <w:bookmarkStart w:id="51" w:name="_Toc462564084"/>
      <w:r>
        <w:rPr>
          <w:rFonts w:hint="eastAsia" w:ascii="宋体" w:hAnsi="宋体"/>
          <w:b/>
          <w:color w:val="000000" w:themeColor="text1"/>
          <w:szCs w:val="21"/>
        </w:rPr>
        <w:t xml:space="preserve">17、投标文件</w:t>
      </w:r>
      <w:bookmarkEnd w:id="48"/>
      <w:r/>
      <w:bookmarkEnd w:id="49"/>
      <w:r/>
      <w:bookmarkEnd w:id="50"/>
      <w:r/>
      <w:bookmarkEnd w:id="51"/>
      <w:r>
        <w:rPr>
          <w:rFonts w:hint="eastAsia" w:ascii="宋体" w:hAnsi="宋体"/>
          <w:b/>
          <w:color w:val="000000" w:themeColor="text1"/>
          <w:szCs w:val="21"/>
        </w:rPr>
        <w:t xml:space="preserve">的递交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电子投标文件的递交投标人应当按照《操作手册》规定，在投标截止时间前制作并上传电子投标文件。</w:t>
      </w:r>
      <w:bookmarkStart w:id="52" w:name="_Toc16938542"/>
      <w:r/>
      <w:bookmarkStart w:id="53" w:name="_Toc20823298"/>
      <w:r/>
      <w:bookmarkStart w:id="54" w:name="_Toc51302922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政府采购管理交易系统（苏采云）</w:t>
      </w:r>
      <w:r>
        <w:rPr>
          <w:rFonts w:hint="eastAsia" w:ascii="宋体" w:hAnsi="宋体"/>
          <w:b/>
          <w:color w:val="000000" w:themeColor="text1"/>
          <w:szCs w:val="21"/>
        </w:rPr>
        <w:t xml:space="preserve">相关要求是本招标文件的组成部分。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olor w:val="000000" w:themeColor="text1"/>
        </w:rPr>
      </w:pPr>
      <w:r>
        <w:rPr>
          <w:rFonts w:hint="eastAsia" w:ascii="宋体" w:hAnsi="宋体"/>
          <w:b/>
          <w:color w:val="000000" w:themeColor="text1"/>
          <w:szCs w:val="21"/>
        </w:rPr>
        <w:t xml:space="preserve">17.7各投标人应在规定时间内凭CA证书进行网上解密。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18、投标截止日期</w:t>
      </w:r>
      <w:bookmarkEnd w:id="52"/>
      <w:r/>
      <w:bookmarkEnd w:id="53"/>
      <w:r/>
      <w:bookmarkEnd w:id="54"/>
      <w:r/>
      <w:r/>
    </w:p>
    <w:p>
      <w:pPr>
        <w:ind w:firstLine="420"/>
        <w:spacing w:line="360" w:lineRule="auto"/>
        <w:rPr>
          <w:rFonts w:hint="eastAsia"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rPr>
      </w:pPr>
      <w:r/>
      <w:bookmarkStart w:id="55" w:name="_Toc16938543"/>
      <w:r/>
      <w:bookmarkStart w:id="56" w:name="_Toc20823299"/>
      <w:r/>
      <w:bookmarkStart w:id="57" w:name="_Toc513029227"/>
      <w:r>
        <w:rPr>
          <w:rFonts w:hint="eastAsia" w:ascii="宋体" w:hAnsi="宋体"/>
          <w:b/>
          <w:color w:val="000000" w:themeColor="text1"/>
          <w:szCs w:val="21"/>
        </w:rPr>
        <w:t xml:space="preserve">19、投标文件</w:t>
      </w:r>
      <w:bookmarkEnd w:id="55"/>
      <w:r/>
      <w:bookmarkEnd w:id="56"/>
      <w:r/>
      <w:bookmarkEnd w:id="57"/>
      <w:r>
        <w:rPr>
          <w:rFonts w:hint="eastAsia" w:ascii="宋体" w:hAnsi="宋体"/>
          <w:b/>
          <w:color w:val="000000" w:themeColor="text1"/>
          <w:szCs w:val="21"/>
        </w:rPr>
        <w:t xml:space="preserve">的拒收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rPr>
      </w:pPr>
      <w:r/>
      <w:bookmarkStart w:id="58" w:name="_Toc513029228"/>
      <w:r/>
      <w:bookmarkStart w:id="59" w:name="_Toc16938544"/>
      <w:r/>
      <w:bookmarkStart w:id="60" w:name="_Toc20823300"/>
      <w:r>
        <w:rPr>
          <w:rFonts w:hint="eastAsia" w:ascii="宋体" w:hAnsi="宋体"/>
          <w:b/>
          <w:color w:val="000000" w:themeColor="text1"/>
          <w:szCs w:val="21"/>
        </w:rPr>
        <w:t xml:space="preserve">20、投标文件的撤回和修改</w:t>
      </w:r>
      <w:bookmarkEnd w:id="58"/>
      <w:r/>
      <w:bookmarkEnd w:id="59"/>
      <w:r/>
      <w:bookmarkEnd w:id="60"/>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评委会由采购人代表和有关技术、经济等方面的专家组成，且人员构成符合政府采购有关规定。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w:t>
      </w:r>
      <w:r>
        <w:rPr>
          <w:rFonts w:hint="eastAsia" w:ascii="宋体" w:hAnsi="宋体"/>
          <w:bCs/>
          <w:color w:val="000000" w:themeColor="text1"/>
          <w:szCs w:val="21"/>
        </w:rPr>
        <w:t xml:space="preserve">“政府采购管理交易系统（苏采云）”查看自己的评审得分及排序情况。</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25.7 投标人在开、评标全过程中应保持通讯畅通，并安排专人与代理机构及评委会联系。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26、无效投标、废标及投标人不足三家的处理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hint="eastAsia" w:ascii="宋体" w:hAnsi="宋体"/>
          <w:b/>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color w:val="000000" w:themeColor="text1"/>
          <w:szCs w:val="21"/>
        </w:rPr>
        <w:t xml:space="preserve">（</w:t>
      </w:r>
      <w:r>
        <w:rPr>
          <w:rFonts w:hint="eastAsia" w:ascii="宋体" w:hAnsi="宋体"/>
          <w:b/>
          <w:i/>
          <w:iCs/>
          <w:color w:val="000000" w:themeColor="text1"/>
          <w:szCs w:val="21"/>
          <w:u w:val="single"/>
        </w:rPr>
        <w:t xml:space="preserve">本招标文件中斜体且有下划线部分为实质性要求和条件</w:t>
      </w:r>
      <w:r>
        <w:rPr>
          <w:rFonts w:hint="eastAsia" w:ascii="宋体" w:hAnsi="宋体"/>
          <w:b/>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p>
    <w:p>
      <w:pPr>
        <w:ind w:firstLine="422"/>
        <w:spacing w:line="360" w:lineRule="auto"/>
        <w:rPr>
          <w:rFonts w:hint="eastAsia" w:ascii="宋体" w:hAnsi="宋体" w:cs="宋体"/>
          <w:b/>
          <w:szCs w:val="21"/>
        </w:rPr>
      </w:pPr>
      <w:r>
        <w:rPr>
          <w:rFonts w:hint="eastAsia" w:ascii="宋体" w:hAnsi="宋体" w:cs="宋体"/>
          <w:b/>
          <w:szCs w:val="21"/>
        </w:rPr>
        <w:t xml:space="preserve">26.1.10 评审委员会启动异常低价投标（响应）审查的情形和具体要求，包括：</w:t>
      </w:r>
      <w:r/>
    </w:p>
    <w:p>
      <w:pPr>
        <w:ind w:firstLine="422"/>
        <w:spacing w:line="360" w:lineRule="auto"/>
        <w:rPr>
          <w:rFonts w:hint="eastAsia" w:ascii="宋体" w:hAnsi="宋体" w:cs="宋体"/>
          <w:b/>
          <w:szCs w:val="21"/>
        </w:rPr>
      </w:pPr>
      <w:r>
        <w:rPr>
          <w:rFonts w:hint="eastAsia" w:ascii="宋体" w:hAnsi="宋体" w:cs="宋体"/>
          <w:b/>
          <w:szCs w:val="21"/>
        </w:rPr>
        <w:t xml:space="preserve">（一）政府采购评审中出现下列情形之一的，评审委员会应当启动异常低价投标（响应）审查程序：</w:t>
      </w:r>
      <w:r/>
    </w:p>
    <w:p>
      <w:pPr>
        <w:ind w:firstLine="422"/>
        <w:spacing w:line="360" w:lineRule="auto"/>
        <w:rPr>
          <w:rFonts w:hint="eastAsia" w:ascii="宋体" w:hAnsi="宋体" w:cs="宋体"/>
          <w:b/>
          <w:szCs w:val="21"/>
        </w:rPr>
      </w:pPr>
      <w:r>
        <w:rPr>
          <w:rFonts w:hint="eastAsia" w:ascii="宋体" w:hAnsi="宋体" w:cs="宋体"/>
          <w:b/>
          <w:szCs w:val="21"/>
        </w:rPr>
        <w:t xml:space="preserve">1、投标（响应）报价低于采购项目预算50%的，即投标（响应）报价＜采购项目预算×50%；</w:t>
      </w:r>
      <w:r/>
    </w:p>
    <w:p>
      <w:pPr>
        <w:ind w:firstLine="422"/>
        <w:spacing w:line="360" w:lineRule="auto"/>
        <w:rPr>
          <w:rFonts w:hint="eastAsia" w:ascii="宋体" w:hAnsi="宋体" w:cs="宋体"/>
          <w:b/>
          <w:szCs w:val="21"/>
        </w:rPr>
      </w:pPr>
      <w:r>
        <w:rPr>
          <w:rFonts w:hint="eastAsia" w:ascii="宋体" w:hAnsi="宋体" w:cs="宋体"/>
          <w:b/>
          <w:szCs w:val="21"/>
        </w:rPr>
        <w:t xml:space="preserve">2、投标（响应）报价低于采购项目最高限价45%的，即投标（响应）报价＜采购项目最高限价×45%；</w:t>
      </w:r>
      <w:r/>
    </w:p>
    <w:p>
      <w:pPr>
        <w:ind w:firstLine="422"/>
        <w:spacing w:line="360" w:lineRule="auto"/>
        <w:rPr>
          <w:rFonts w:hint="eastAsia"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ind w:firstLine="422"/>
        <w:spacing w:line="360" w:lineRule="auto"/>
        <w:rPr>
          <w:rFonts w:hint="eastAsia" w:ascii="宋体" w:hAnsi="宋体" w:cs="宋体"/>
          <w:b/>
          <w:szCs w:val="21"/>
        </w:rPr>
      </w:pPr>
      <w:r>
        <w:rPr>
          <w:rFonts w:hint="eastAsia" w:ascii="宋体" w:hAnsi="宋体" w:cs="宋体"/>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26.1.12 投标文件未按照招标文件要求加盖电子签章。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26.1.13其他法律、法规及本招标文件规定的属无效投标的情形。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26.2废标条款：</w:t>
      </w:r>
      <w:r/>
    </w:p>
    <w:p>
      <w:pPr>
        <w:ind w:left="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26.2.3因重大变故，采购任务取消的。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27.3代理机构将在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发布中标公告，公告期限为1个工作日。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rPr>
          <w:rFonts w:hint="eastAsia" w:ascii="宋体" w:hAnsi="宋体"/>
          <w:bCs/>
          <w:color w:val="000000" w:themeColor="text1"/>
          <w:szCs w:val="21"/>
        </w:rPr>
        <w:br w:type="textWrapping" w:clear="all"/>
        <w:t xml:space="preserve">    28.2.2对采购过程提出质疑的，为各采购程序环节结束之日起7个工作日内提出。</w:t>
      </w:r>
      <w:r>
        <w:rPr>
          <w:rFonts w:hint="eastAsia" w:ascii="宋体" w:hAnsi="宋体"/>
          <w:bCs/>
          <w:color w:val="000000" w:themeColor="text1"/>
          <w:szCs w:val="21"/>
        </w:rPr>
        <w:br w:type="textWrapping" w:clear="all"/>
        <w:t xml:space="preserve">    28.2.3对中标结果提出质疑的，为中标结果公告期限届满之日起7个工作日内提出。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28.5 代理机构及采购人只接收以纸质原件形式送达的质疑。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30、签订合同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30.3 合同在“政府采购管理交易系统（苏采云）”中签订，签订合同后，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bCs/>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1、其他</w:t>
      </w:r>
      <w:r>
        <w:rPr>
          <w:rFonts w:ascii="宋体" w:hAnsi="宋体"/>
          <w:color w:val="000000" w:themeColor="text1"/>
        </w:rPr>
        <w:br w:type="textWrapping" w:clear="all"/>
        <w:t xml:space="preserve">    3</w:t>
      </w:r>
      <w:r>
        <w:rPr>
          <w:rFonts w:hint="eastAsia" w:ascii="宋体" w:hAnsi="宋体"/>
          <w:color w:val="000000" w:themeColor="text1"/>
        </w:rPr>
        <w:t xml:space="preserve">1</w:t>
      </w:r>
      <w:r>
        <w:rPr>
          <w:rFonts w:ascii="宋体" w:hAnsi="宋体"/>
          <w:color w:val="000000" w:themeColor="text1"/>
        </w:rPr>
        <w:t xml:space="preserve">.1 </w:t>
      </w:r>
      <w:r>
        <w:rPr>
          <w:rFonts w:hint="eastAsia" w:ascii="宋体" w:hAnsi="宋体"/>
          <w:color w:val="000000" w:themeColor="text1"/>
        </w:rPr>
        <w:t xml:space="preserve">依据《政府采购促进中小企业发展管理办法》享受享受扶持政策获得政府采购合</w:t>
      </w:r>
      <w:r>
        <w:rPr>
          <w:rFonts w:hint="eastAsia" w:ascii="宋体" w:hAnsi="宋体"/>
          <w:color w:val="000000" w:themeColor="text1"/>
        </w:rPr>
        <w:t xml:space="preserve">同的，小微企业不得将合同分包给大中型企业，中型企业不得将合同分包给大型企业。</w:t>
      </w:r>
      <w:r/>
    </w:p>
    <w:p>
      <w:pPr>
        <w:ind w:firstLine="420"/>
        <w:spacing w:line="440" w:lineRule="exact"/>
        <w:rPr>
          <w:rFonts w:hint="eastAsia" w:ascii="宋体" w:hAnsi="宋体"/>
          <w:color w:val="000000" w:themeColor="text1"/>
        </w:rPr>
      </w:pPr>
      <w:r>
        <w:rPr>
          <w:rFonts w:hint="eastAsia" w:ascii="宋体" w:hAnsi="宋体"/>
          <w:bCs/>
          <w:color w:val="000000" w:themeColor="text1"/>
          <w:szCs w:val="21"/>
        </w:rPr>
        <w:br w:type="page" w:clear="all"/>
      </w:r>
      <w:r/>
    </w:p>
    <w:p>
      <w:pPr>
        <w:pStyle w:val="742"/>
        <w:jc w:val="center"/>
        <w:rPr>
          <w:rFonts w:hint="eastAsia" w:ascii="宋体" w:hAnsi="宋体"/>
          <w:color w:val="000000" w:themeColor="text1"/>
          <w:szCs w:val="36"/>
        </w:rPr>
      </w:pPr>
      <w:r/>
      <w:bookmarkStart w:id="61" w:name="_Toc55204179"/>
      <w:r/>
      <w:bookmarkStart w:id="62" w:name="_Toc190211626"/>
      <w:r/>
      <w:bookmarkStart w:id="63" w:name="_Hlk69392822"/>
      <w:r>
        <w:rPr>
          <w:rFonts w:hint="eastAsia" w:ascii="宋体" w:hAnsi="宋体"/>
          <w:color w:val="000000" w:themeColor="text1"/>
          <w:szCs w:val="36"/>
        </w:rPr>
        <w:t xml:space="preserve">第三章 合同条款及格式</w:t>
      </w:r>
      <w:bookmarkEnd w:id="61"/>
      <w:r/>
      <w:bookmarkEnd w:id="62"/>
      <w:r/>
      <w:r/>
    </w:p>
    <w:p>
      <w:pPr>
        <w:pStyle w:val="763"/>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以下为中标后签定本项目合同的通用条款，中标人不得提出实质性的修改，关于专用条款将由采购人与中标人结合本项目具体情况协商后签订。</w:t>
      </w:r>
      <w:r/>
    </w:p>
    <w:p>
      <w:pPr>
        <w:pStyle w:val="763"/>
        <w:ind w:firstLine="420"/>
        <w:jc w:val="center"/>
        <w:spacing w:before="120" w:after="120" w:line="360" w:lineRule="auto"/>
        <w:rPr>
          <w:rFonts w:hint="eastAsia" w:hAnsi="宋体" w:cs="Calibri"/>
          <w:color w:val="000000" w:themeColor="text1"/>
          <w:sz w:val="21"/>
        </w:rPr>
      </w:pPr>
      <w:r>
        <w:rPr>
          <w:rFonts w:hint="eastAsia" w:hAnsi="宋体" w:cs="Calibri"/>
          <w:b/>
          <w:bCs/>
          <w:color w:val="000000" w:themeColor="text1"/>
          <w:sz w:val="21"/>
        </w:rPr>
        <w:t xml:space="preserve">扬州市江都区政府采购合同（货物）</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项目名称：</w:t>
      </w:r>
      <w:r>
        <w:rPr>
          <w:rFonts w:hint="eastAsia" w:ascii="宋体" w:hAnsi="宋体" w:cs="Calibri"/>
          <w:color w:val="000000" w:themeColor="text1"/>
          <w:szCs w:val="21"/>
          <w:u w:val="single"/>
        </w:rPr>
        <w:t xml:space="preserve">2025年中央粮油生产保障和中央防灾救灾第三批专项资金采购项目</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项目编号：</w:t>
      </w:r>
      <w:r>
        <w:rPr>
          <w:rFonts w:hint="eastAsia" w:ascii="宋体" w:hAnsi="宋体" w:cs="宋体"/>
          <w:color w:val="000000" w:themeColor="text1"/>
          <w:szCs w:val="21"/>
          <w:u w:val="single"/>
        </w:rPr>
        <w:t xml:space="preserve">JSZC-321012-YZKD-G2025-0033</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甲方：</w:t>
      </w:r>
      <w:r>
        <w:rPr>
          <w:rFonts w:hint="eastAsia" w:ascii="宋体" w:hAnsi="宋体" w:cs="Calibri"/>
          <w:color w:val="000000" w:themeColor="text1"/>
          <w:szCs w:val="21"/>
          <w:u w:val="single"/>
        </w:rPr>
        <w:t xml:space="preserve">扬州市江都区农业技术综合服务中心</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乙方：</w:t>
      </w:r>
      <w:r>
        <w:rPr>
          <w:rFonts w:ascii="宋体" w:hAnsi="宋体" w:cs="Calibri"/>
          <w:color w:val="000000" w:themeColor="text1"/>
          <w:szCs w:val="21"/>
          <w:u w:val="single"/>
        </w:rPr>
        <w:t xml:space="preserve">                                </w:t>
      </w:r>
      <w:r/>
    </w:p>
    <w:p>
      <w:pPr>
        <w:pStyle w:val="763"/>
        <w:ind w:firstLine="420"/>
        <w:spacing w:before="120" w:after="120" w:line="360" w:lineRule="auto"/>
        <w:rPr>
          <w:rFonts w:hint="eastAsia" w:hAnsi="宋体" w:cs="Calibri"/>
          <w:color w:val="000000" w:themeColor="text1"/>
          <w:sz w:val="21"/>
        </w:rPr>
      </w:pPr>
      <w:r>
        <w:rPr>
          <w:rFonts w:hint="eastAsia" w:hAnsi="宋体" w:cs="Calibri"/>
          <w:color w:val="000000" w:themeColor="text1"/>
          <w:sz w:val="21"/>
        </w:rPr>
        <w:t xml:space="preserve">根据《中华人民共和国政府采购法》、《</w:t>
      </w:r>
      <w:r>
        <w:rPr>
          <w:rFonts w:hint="eastAsia" w:hAnsi="宋体" w:cs="Calibri"/>
          <w:color w:val="000000" w:themeColor="text1"/>
          <w:sz w:val="21"/>
        </w:rPr>
        <w:t xml:space="preserve">中华人民共和国民法典</w:t>
      </w:r>
      <w:r>
        <w:rPr>
          <w:rFonts w:hint="eastAsia" w:hAnsi="宋体" w:cs="Calibri"/>
          <w:color w:val="000000" w:themeColor="text1"/>
          <w:sz w:val="21"/>
        </w:rPr>
        <w:t xml:space="preserve">》等法律法规的规定和公开招标的结果，签署本合同。</w:t>
      </w:r>
      <w:r/>
    </w:p>
    <w:p>
      <w:pPr>
        <w:pStyle w:val="763"/>
        <w:ind w:firstLine="422"/>
        <w:spacing w:before="120" w:after="120" w:line="360" w:lineRule="auto"/>
        <w:rPr>
          <w:rFonts w:hint="eastAsia" w:hAnsi="宋体"/>
          <w:b/>
          <w:bCs/>
          <w:color w:val="000000" w:themeColor="text1"/>
          <w:sz w:val="21"/>
        </w:rPr>
      </w:pPr>
      <w:r>
        <w:rPr>
          <w:rFonts w:hint="eastAsia" w:hAnsi="宋体"/>
          <w:b/>
          <w:bCs/>
          <w:color w:val="000000" w:themeColor="text1"/>
          <w:sz w:val="21"/>
        </w:rPr>
        <w:t xml:space="preserve">一、服务及产品内容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1.1 货物及服务名称：</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1.2 型号规格：</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1.3 数量（单位）</w:t>
      </w:r>
      <w:r>
        <w:rPr>
          <w:rFonts w:hint="eastAsia" w:ascii="宋体" w:hAnsi="宋体"/>
          <w:color w:val="000000" w:themeColor="text1"/>
          <w:szCs w:val="21"/>
        </w:rPr>
        <w:t xml:space="preserve">：</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二、合同金额</w:t>
      </w:r>
      <w:r/>
    </w:p>
    <w:p>
      <w:pPr>
        <w:ind w:firstLine="420"/>
        <w:jc w:val="left"/>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本合同金额为（大写）：_______________</w:t>
      </w:r>
      <w:r>
        <w:rPr>
          <w:rFonts w:hint="eastAsia" w:ascii="宋体" w:hAnsi="宋体"/>
          <w:color w:val="000000" w:themeColor="text1"/>
          <w:szCs w:val="21"/>
        </w:rPr>
        <w:t xml:space="preserve">元</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_________元）人民币。</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3.1乙方应按招标文件规定的时间向甲方提供使用货物及服务的有关技术资料。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四、知识产权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五、产权担保</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5.1 乙方保证所交付的货物及服务的所有权完全属于乙方且无任何抵押、查封等产权瑕疵。</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6.1收取履约保证金的，</w:t>
      </w:r>
      <w:r>
        <w:rPr>
          <w:rFonts w:hint="eastAsia" w:ascii="宋体" w:hAnsi="宋体"/>
          <w:color w:val="000000" w:themeColor="text1"/>
          <w:szCs w:val="21"/>
        </w:rPr>
        <w:t xml:space="preserve">允许中标人自主选择支票、汇票、本票、保函等非现金形式缴纳或提交，</w:t>
      </w:r>
      <w:r>
        <w:rPr>
          <w:rFonts w:ascii="宋体" w:hAnsi="宋体"/>
          <w:color w:val="000000" w:themeColor="text1"/>
          <w:szCs w:val="21"/>
        </w:rPr>
        <w:t xml:space="preserve">应当在采购合同中约定履约保证金退还的方式、时间、条件和不予退还的情形，明确逾期退还履约保证金的违约责任。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6.4 履约保证金收取：无</w:t>
      </w:r>
      <w:r>
        <w:rPr>
          <w:rFonts w:hint="eastAsia" w:ascii="宋体" w:hAnsi="宋体"/>
          <w:color w:val="000000" w:themeColor="text1"/>
          <w:szCs w:val="21"/>
        </w:rPr>
        <w:t xml:space="preserve"> </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七、转包或分包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7.1本合同范围的货物及服务，应由乙方直接供应，不得转让他人供应；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7.2 除非得到甲方的书面同意，乙方不得部分分包给他人供应。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7.3如有转让和未经甲方同意的分包行为，甲方有权给予终止合同。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八、质保期</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8.1 质保期</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年。（自交货验收合格之日起计）</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九、交付期、交付方式及交付地点</w:t>
      </w:r>
      <w:r/>
    </w:p>
    <w:p>
      <w:pPr>
        <w:ind w:firstLine="420"/>
        <w:spacing w:before="120" w:after="120" w:line="360" w:lineRule="auto"/>
        <w:rPr>
          <w:rFonts w:hint="eastAsia" w:ascii="宋体" w:hAnsi="宋体"/>
          <w:color w:val="000000" w:themeColor="text1"/>
          <w:szCs w:val="21"/>
          <w:u w:val="single"/>
        </w:rPr>
      </w:pPr>
      <w:r>
        <w:rPr>
          <w:rFonts w:hint="eastAsia" w:ascii="宋体" w:hAnsi="宋体"/>
          <w:color w:val="000000" w:themeColor="text1"/>
          <w:szCs w:val="21"/>
        </w:rPr>
        <w:t xml:space="preserve">9.1 交付期：</w:t>
      </w:r>
      <w:r>
        <w:rPr>
          <w:rFonts w:hint="eastAsia" w:ascii="宋体" w:hAnsi="宋体"/>
          <w:color w:val="000000" w:themeColor="text1"/>
          <w:szCs w:val="21"/>
          <w:u w:val="single"/>
        </w:rPr>
        <w:t xml:space="preserve">5日历天</w:t>
      </w:r>
      <w:r>
        <w:rPr>
          <w:rFonts w:hint="eastAsia" w:ascii="宋体" w:hAnsi="宋体"/>
          <w:color w:val="000000" w:themeColor="text1"/>
          <w:szCs w:val="21"/>
          <w:u w:val="single"/>
        </w:rPr>
        <w:t xml:space="preserve">(具体开始交付时间按甲方通知为准）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9.2 交付方式：_________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9.3 交付地点：_________</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十、货款支付</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rPr>
          <w:rFonts w:hint="eastAsia" w:ascii="宋体" w:hAnsi="宋体" w:cs="宋体"/>
          <w:szCs w:val="21"/>
        </w:rPr>
        <w:t xml:space="preserve">（待甲方通知）</w:t>
      </w:r>
      <w:r>
        <w:rPr>
          <w:rFonts w:hint="eastAsia" w:ascii="宋体" w:hAnsi="宋体" w:cs="宋体"/>
          <w:color w:val="000000" w:themeColor="text1"/>
          <w:szCs w:val="21"/>
        </w:rPr>
        <w:t xml:space="preserve">。</w:t>
      </w:r>
      <w:r/>
    </w:p>
    <w:p>
      <w:pPr>
        <w:ind w:firstLine="420"/>
        <w:spacing w:line="360" w:lineRule="auto"/>
        <w:rPr>
          <w:rFonts w:hint="eastAsia" w:ascii="宋体" w:hAnsi="宋体"/>
          <w:b/>
          <w:bCs/>
          <w:color w:val="000000" w:themeColor="text1"/>
          <w:szCs w:val="21"/>
          <w:u w:val="single"/>
        </w:rPr>
      </w:pPr>
      <w:r>
        <w:rPr>
          <w:rFonts w:hint="eastAsia" w:ascii="宋体" w:hAnsi="宋体" w:cs="宋体"/>
          <w:color w:val="000000" w:themeColor="text1"/>
          <w:szCs w:val="21"/>
        </w:rPr>
        <w:t xml:space="preserve">10.3 甲方付款方式：</w:t>
      </w:r>
      <w:r>
        <w:rPr>
          <w:rFonts w:hint="eastAsia" w:ascii="宋体" w:hAnsi="宋体"/>
          <w:b/>
          <w:bCs/>
          <w:color w:val="000000" w:themeColor="text1"/>
          <w:szCs w:val="21"/>
          <w:u w:val="single"/>
        </w:rPr>
        <w:t xml:space="preserve">合同签订后</w:t>
      </w:r>
      <w:r>
        <w:rPr>
          <w:rFonts w:hint="eastAsia" w:ascii="宋体" w:hAnsi="宋体"/>
          <w:b/>
          <w:bCs/>
          <w:color w:val="000000" w:themeColor="text1"/>
          <w:szCs w:val="21"/>
          <w:u w:val="single"/>
        </w:rPr>
        <w:t xml:space="preserve">须按照甲方要求将货物及时分别供应到指定地点，并完成卸货，供货完成且经第三方检测机构抽样检测合格无任何质量问题</w:t>
      </w:r>
      <w:r>
        <w:rPr>
          <w:rFonts w:hint="eastAsia" w:ascii="宋体" w:hAnsi="宋体"/>
          <w:b/>
          <w:bCs/>
          <w:color w:val="000000" w:themeColor="text1"/>
          <w:szCs w:val="21"/>
          <w:u w:val="single"/>
        </w:rPr>
        <w:t xml:space="preserve">后</w:t>
      </w:r>
      <w:r>
        <w:rPr>
          <w:rFonts w:hint="eastAsia" w:ascii="宋体" w:hAnsi="宋体"/>
          <w:b/>
          <w:bCs/>
          <w:color w:val="000000" w:themeColor="text1"/>
          <w:szCs w:val="21"/>
          <w:u w:val="single"/>
        </w:rPr>
        <w:t xml:space="preserve">根据</w:t>
      </w:r>
      <w:r>
        <w:rPr>
          <w:rFonts w:hint="eastAsia" w:ascii="宋体" w:hAnsi="宋体"/>
          <w:b/>
          <w:bCs/>
          <w:color w:val="000000" w:themeColor="text1"/>
          <w:szCs w:val="21"/>
          <w:u w:val="single"/>
        </w:rPr>
        <w:t xml:space="preserve">财政资金拨付到位</w:t>
      </w:r>
      <w:r>
        <w:rPr>
          <w:rFonts w:hint="eastAsia" w:ascii="宋体" w:hAnsi="宋体"/>
          <w:b/>
          <w:bCs/>
          <w:color w:val="000000" w:themeColor="text1"/>
          <w:szCs w:val="21"/>
          <w:u w:val="single"/>
        </w:rPr>
        <w:t xml:space="preserve">情况通知乙方开票付款</w:t>
      </w:r>
      <w:r>
        <w:rPr>
          <w:rFonts w:hint="eastAsia" w:ascii="宋体" w:hAnsi="宋体"/>
          <w:b/>
          <w:bCs/>
          <w:color w:val="000000" w:themeColor="text1"/>
          <w:szCs w:val="21"/>
          <w:u w:val="single"/>
        </w:rPr>
        <w:t xml:space="preserve">。（每次支付甲方自收到乙方发票之日起10个工作日内付</w:t>
      </w:r>
      <w:r>
        <w:rPr>
          <w:rFonts w:hint="eastAsia" w:ascii="宋体" w:hAnsi="宋体"/>
          <w:b/>
          <w:bCs/>
          <w:color w:val="000000" w:themeColor="text1"/>
          <w:szCs w:val="21"/>
          <w:u w:val="single"/>
        </w:rPr>
        <w:t xml:space="preserve">款）</w:t>
      </w:r>
      <w:r/>
    </w:p>
    <w:p>
      <w:pPr>
        <w:ind w:firstLine="422"/>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十一、税费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11.1本合同执行中相关的一切税费均由乙方负担。</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十二、质量保证及售后服务</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12.1 乙方应按招标文件规定的货物及服务性能、技术要求、质量标准向甲方提供。</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⑴更换：由乙方承担所发生的全部费用。</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⑵贬值处理：由甲乙双方合议定价。</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⑶退还处理：乙方应退还甲方支付的合同款，同时应承担该货物及服务的直接费用（运输、保险、检验、款项利息及银行手续费等）。</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12.3 如在使用过程中发生质量问题，乙方在接到甲方通知后在______小时内到达甲方现场。</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12.4 在质保期内，乙方应对货物及服务出现的质量及安全问题负责处理解决并承担一切费用。</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十三、调试和验收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13.1 甲方对乙方提交的货物及服务依据招标文件上的技术规格要求和国家有关质量标准进行现场初步验收，外观、说明书符合招标文件技术要求的，给予签收，初步验收不合格的不予签收。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13.2 乙方交付前应对货物及服务作出全面检查和对验收文件进行整理，并列出清单，作为甲方交付验收和使用的技术条件依据，检验的结果应随货物及服务交甲方。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13.4 对技术复杂的货物及服务，甲方可请国家认可的专业检测机构参与初步验收及最终验收，并由其出具质量检测报告。</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13.5 验收时乙方必须在现场，验收完毕后作出验收结果报告；验收费用由甲乙双方协商解决。</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十四、货物及服务包装、发运及运输</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14.1 乙方应在货物及服务发运前对其进行满足运输距离、防潮、防震、防锈和防破损</w:t>
      </w:r>
      <w:r>
        <w:rPr>
          <w:rFonts w:hint="eastAsia" w:ascii="宋体" w:hAnsi="宋体"/>
          <w:color w:val="000000" w:themeColor="text1"/>
          <w:szCs w:val="21"/>
        </w:rPr>
        <w:t xml:space="preserve">装卸等要求包装，以保证货物及服务安全运达甲方指定地点。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14.2 使用说明书、质量检验证明书、随配附件和工具以及清单一并交付甲方。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14.3 乙方在货物及服务发运手续办理完毕后24小时内或交付到甲方48小时前通知甲方，以准备接受交付。</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14.4 货物在交付甲方前发生的风险均由乙方负责。</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14.5 货物及服务在规定的交付期限内由乙方送达甲方指定的地点视为交付，乙方同时需通知甲方货物及服务已送达。</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十五、违约责任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1</w:t>
      </w:r>
      <w:r>
        <w:rPr>
          <w:rFonts w:hint="eastAsia" w:ascii="宋体" w:hAnsi="宋体"/>
          <w:color w:val="000000" w:themeColor="text1"/>
          <w:szCs w:val="21"/>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2</w:t>
      </w:r>
      <w:r>
        <w:rPr>
          <w:rFonts w:hint="eastAsia" w:ascii="宋体" w:hAnsi="宋体"/>
          <w:color w:val="000000" w:themeColor="text1"/>
          <w:szCs w:val="21"/>
        </w:rPr>
        <w:t xml:space="preserve">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十六、不可抗力事件处理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16.2 不可抗力事件发生后，应立即通知对方，并寄送有关权威机构出具的证明。</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16.3 不可抗力事件延续120天以上，双方应通过友好协商，确定是否继续履行合同。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十七、诉讼</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十八、</w:t>
      </w:r>
      <w:r>
        <w:rPr>
          <w:rFonts w:hint="eastAsia" w:ascii="宋体" w:hAnsi="宋体"/>
          <w:color w:val="000000" w:themeColor="text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十九、合同生效及其它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19.1 合同经双方法定代表人签章并加盖单位公章后生效。</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19.2本合同未尽事宜，遵照《</w:t>
      </w:r>
      <w:r>
        <w:rPr>
          <w:rFonts w:hint="eastAsia" w:ascii="宋体" w:hAnsi="宋体"/>
          <w:color w:val="000000" w:themeColor="text1"/>
          <w:szCs w:val="21"/>
        </w:rPr>
        <w:t xml:space="preserve">中华人民共和国民法典</w:t>
      </w:r>
      <w:r>
        <w:rPr>
          <w:rFonts w:hint="eastAsia" w:ascii="宋体" w:hAnsi="宋体"/>
          <w:color w:val="000000" w:themeColor="text1"/>
          <w:szCs w:val="21"/>
        </w:rPr>
        <w:t xml:space="preserve">》有关条文执行。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19.3 本合同正本一式</w:t>
      </w:r>
      <w:r>
        <w:rPr>
          <w:rFonts w:hint="eastAsia" w:ascii="宋体" w:hAnsi="宋体"/>
          <w:color w:val="000000" w:themeColor="text1"/>
          <w:szCs w:val="21"/>
        </w:rPr>
        <w:t xml:space="preserve">六</w:t>
      </w:r>
      <w:r>
        <w:rPr>
          <w:rFonts w:hint="eastAsia" w:ascii="宋体" w:hAnsi="宋体"/>
          <w:color w:val="000000" w:themeColor="text1"/>
          <w:szCs w:val="21"/>
        </w:rPr>
        <w:t xml:space="preserve">份，具有同等法律效力，甲方、乙方各执</w:t>
      </w:r>
      <w:r>
        <w:rPr>
          <w:rFonts w:hint="eastAsia" w:ascii="宋体" w:hAnsi="宋体"/>
          <w:color w:val="000000" w:themeColor="text1"/>
          <w:szCs w:val="21"/>
        </w:rPr>
        <w:t xml:space="preserve">三</w:t>
      </w:r>
      <w:r>
        <w:rPr>
          <w:rFonts w:hint="eastAsia" w:ascii="宋体" w:hAnsi="宋体"/>
          <w:color w:val="000000" w:themeColor="text1"/>
          <w:szCs w:val="21"/>
        </w:rPr>
        <w:t xml:space="preserve">份。</w:t>
      </w:r>
      <w:r/>
    </w:p>
    <w:p>
      <w:pPr>
        <w:rPr>
          <w:rFonts w:hint="eastAsia" w:ascii="宋体" w:hAnsi="宋体"/>
          <w:color w:val="000000" w:themeColor="text1"/>
        </w:rPr>
      </w:pPr>
      <w:r>
        <w:rPr>
          <w:rFonts w:hint="eastAsia" w:ascii="宋体" w:hAnsi="宋体"/>
          <w:color w:val="000000" w:themeColor="text1"/>
        </w:rPr>
      </w:r>
      <w:r/>
    </w:p>
    <w:tbl>
      <w:tblPr>
        <w:tblW w:w="8522" w:type="dxa"/>
        <w:tblInd w:w="135" w:type="dxa"/>
        <w:tblLayout w:type="fixed"/>
        <w:tblLook w:val="0000" w:firstRow="0" w:lastRow="0" w:firstColumn="0" w:lastColumn="0" w:noHBand="0" w:noVBand="0"/>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甲方：</w:t>
            </w:r>
            <w:bookmarkStart w:id="64" w:name="XMDW_2"/>
            <w:r>
              <w:rPr>
                <w:rFonts w:hint="eastAsia" w:ascii="宋体" w:hAnsi="宋体"/>
                <w:color w:val="000000" w:themeColor="text1"/>
                <w:szCs w:val="21"/>
              </w:rPr>
              <w:t xml:space="preserve">扬州市江都区农业技术综合服务中心</w:t>
            </w:r>
            <w:bookmarkEnd w:id="64"/>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w:t>
            </w:r>
            <w:bookmarkStart w:id="65" w:name="DWDZ_1"/>
            <w:r>
              <w:rPr>
                <w:rFonts w:hint="eastAsia" w:ascii="宋体" w:hAnsi="宋体"/>
                <w:color w:val="000000" w:themeColor="text1"/>
                <w:szCs w:val="21"/>
              </w:rPr>
              <w:t xml:space="preserve">扬州市江都区东方红路</w:t>
            </w:r>
            <w:r>
              <w:rPr>
                <w:rFonts w:ascii="宋体" w:hAnsi="宋体"/>
                <w:color w:val="000000" w:themeColor="text1"/>
                <w:szCs w:val="21"/>
              </w:rPr>
              <w:t xml:space="preserve">48号</w:t>
            </w:r>
            <w:bookmarkEnd w:id="65"/>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w:t>
            </w:r>
            <w:r/>
          </w:p>
        </w:tc>
      </w:tr>
    </w:tbl>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 </w:t>
      </w:r>
      <w:r/>
    </w:p>
    <w:p>
      <w:pPr>
        <w:jc w:val="left"/>
        <w:widowControl/>
        <w:rPr>
          <w:rFonts w:hint="eastAsia" w:ascii="宋体" w:hAnsi="宋体" w:cs="Calibri"/>
          <w:color w:val="000000" w:themeColor="text1"/>
          <w:szCs w:val="21"/>
        </w:rPr>
      </w:pPr>
      <w:r>
        <w:rPr>
          <w:rFonts w:ascii="宋体" w:hAnsi="宋体" w:cs="Calibri"/>
          <w:color w:val="000000" w:themeColor="text1"/>
          <w:szCs w:val="21"/>
        </w:rPr>
        <w:br w:type="page" w:clear="all"/>
      </w:r>
      <w:r/>
    </w:p>
    <w:p>
      <w:pPr>
        <w:pStyle w:val="742"/>
        <w:numPr>
          <w:ilvl w:val="0"/>
          <w:numId w:val="1"/>
        </w:numPr>
        <w:jc w:val="center"/>
        <w:rPr>
          <w:rFonts w:hint="eastAsia" w:ascii="宋体" w:hAnsi="宋体"/>
          <w:color w:val="000000" w:themeColor="text1"/>
        </w:rPr>
      </w:pPr>
      <w:r/>
      <w:bookmarkStart w:id="66" w:name="_Toc190211627"/>
      <w:r/>
      <w:bookmarkEnd w:id="63"/>
      <w:r>
        <w:rPr>
          <w:rFonts w:hint="eastAsia" w:ascii="宋体" w:hAnsi="宋体"/>
          <w:color w:val="000000" w:themeColor="text1"/>
        </w:rPr>
        <w:t xml:space="preserve">项目需求</w:t>
      </w:r>
      <w:bookmarkEnd w:id="66"/>
      <w:r/>
      <w:r/>
    </w:p>
    <w:p>
      <w:pPr>
        <w:ind w:right="-153" w:firstLine="422"/>
        <w:spacing w:line="360" w:lineRule="auto"/>
        <w:rPr>
          <w:rFonts w:hint="eastAsia" w:ascii="宋体" w:hAnsi="宋体"/>
          <w:b/>
          <w:color w:val="000000" w:themeColor="text1"/>
        </w:rPr>
      </w:pPr>
      <w:r>
        <w:rPr>
          <w:rFonts w:hint="eastAsia" w:ascii="宋体" w:hAnsi="宋体"/>
          <w:b/>
          <w:color w:val="000000" w:themeColor="text1"/>
        </w:rPr>
        <w:t xml:space="preserve">项目属性：货物类项目</w:t>
      </w:r>
      <w:r/>
    </w:p>
    <w:p>
      <w:pPr>
        <w:ind w:right="-153" w:firstLine="422"/>
        <w:spacing w:line="360" w:lineRule="auto"/>
        <w:rPr>
          <w:rFonts w:hint="eastAsia" w:ascii="宋体" w:hAnsi="宋体"/>
          <w:b/>
          <w:color w:val="000000" w:themeColor="text1"/>
        </w:rPr>
      </w:pPr>
      <w:r>
        <w:rPr>
          <w:rFonts w:ascii="宋体" w:hAnsi="宋体"/>
          <w:b/>
          <w:color w:val="000000" w:themeColor="text1"/>
        </w:rPr>
        <w:t xml:space="preserve">其他要求</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w:t>
      </w:r>
      <w:r>
        <w:rPr>
          <w:rFonts w:ascii="宋体" w:hAnsi="宋体"/>
          <w:color w:val="000000" w:themeColor="text1"/>
        </w:rPr>
        <w:t xml:space="preserve">投标产品</w:t>
      </w:r>
      <w:r>
        <w:rPr>
          <w:rFonts w:ascii="宋体" w:hAnsi="宋体"/>
          <w:color w:val="000000" w:themeColor="text1"/>
        </w:rPr>
        <w:t xml:space="preserve">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000000" w:themeColor="text1"/>
          <w:u w:val="single"/>
        </w:rPr>
        <w:t xml:space="preserve">如属政府强制采购产品未提供认证证书的或认证证书提供不全的将视为未实质性响应采购要求</w:t>
      </w:r>
      <w:r>
        <w:rPr>
          <w:rFonts w:ascii="宋体" w:hAnsi="宋体"/>
          <w:color w:val="000000" w:themeColor="text1"/>
        </w:rPr>
        <w:t xml:space="preserve">。其他条件相同情况下，应当优先采购节能产品、环境标志产品。</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themeColor="text1"/>
        </w:rPr>
        <w:t xml:space="preserve">“</w:t>
      </w:r>
      <w:r>
        <w:rPr>
          <w:rFonts w:hint="eastAsia" w:ascii="宋体" w:hAnsi="宋体"/>
          <w:color w:val="000000" w:themeColor="text1"/>
        </w:rPr>
        <w:t xml:space="preserve">符合证明文件格式</w:t>
      </w:r>
      <w:r>
        <w:rPr>
          <w:rFonts w:ascii="宋体" w:hAnsi="宋体"/>
          <w:color w:val="000000" w:themeColor="text1"/>
        </w:rPr>
        <w:t xml:space="preserve">”</w:t>
      </w:r>
      <w:r>
        <w:rPr>
          <w:rFonts w:hint="eastAsia" w:ascii="宋体" w:hAnsi="宋体"/>
          <w:color w:val="000000" w:themeColor="text1"/>
        </w:rPr>
        <w:t xml:space="preserve">中准确填写或上传。</w:t>
      </w:r>
      <w:r/>
    </w:p>
    <w:p>
      <w:pPr>
        <w:ind w:firstLine="422"/>
        <w:spacing w:line="360" w:lineRule="auto"/>
        <w:rPr>
          <w:rFonts w:hint="eastAsia" w:ascii="宋体" w:hAnsi="宋体"/>
          <w:b/>
          <w:color w:val="000000" w:themeColor="text1"/>
        </w:rPr>
      </w:pPr>
      <w:r/>
      <w:bookmarkStart w:id="67" w:name="_Hlk147916317"/>
      <w:r/>
      <w:bookmarkStart w:id="68" w:name="_Toc55204181"/>
      <w:r>
        <w:rPr>
          <w:rFonts w:hint="eastAsia" w:ascii="宋体" w:hAnsi="宋体"/>
          <w:b/>
          <w:color w:val="000000" w:themeColor="text1"/>
        </w:rPr>
        <w:t xml:space="preserve">本项目所属行业：工业</w:t>
      </w:r>
      <w:r/>
    </w:p>
    <w:p>
      <w:pPr>
        <w:ind w:firstLine="422"/>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一、项目基本情况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JSZC-321012-YZKD-G2025-0033</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2025年中央粮油生产保障和中央防灾救灾第三批专项资金采购项目</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3.预算金额：715.00万元（</w:t>
      </w:r>
      <w:r>
        <w:rPr>
          <w:rFonts w:hint="eastAsia" w:ascii="宋体" w:hAnsi="宋体" w:cs="宋体"/>
          <w:color w:val="000000" w:themeColor="text1"/>
        </w:rPr>
        <w:t xml:space="preserve">（采购包1：115.00万元；采购包2：110.00万元；采购包3：55.00万元；采购包4：278.00万元；采购包5：85.00万元；采购包6：72.00万元）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4.最高限价：本项目设定最高限价单价：采购包1：肟菌·戊唑醇300000.00元/吨；采购包2：井冈·戊唑醇90000.00元/吨；采购包3：</w:t>
      </w:r>
      <w:r>
        <w:rPr>
          <w:rFonts w:hint="eastAsia" w:ascii="宋体" w:hAnsi="宋体" w:cs="宋体"/>
          <w:color w:val="000000" w:themeColor="text1"/>
        </w:rPr>
        <w:t xml:space="preserve">30%</w:t>
      </w:r>
      <w:r>
        <w:rPr>
          <w:rFonts w:hint="eastAsia" w:ascii="宋体" w:hAnsi="宋体" w:cs="宋体"/>
          <w:color w:val="000000" w:themeColor="text1"/>
        </w:rPr>
        <w:t xml:space="preserve">丙硫菌唑</w:t>
      </w:r>
      <w:r>
        <w:rPr>
          <w:rFonts w:hint="eastAsia" w:ascii="宋体" w:hAnsi="宋体" w:cs="宋体"/>
          <w:color w:val="000000" w:themeColor="text1"/>
        </w:rPr>
        <w:t xml:space="preserve">（带伴侣）155</w:t>
      </w:r>
      <w:r>
        <w:rPr>
          <w:rFonts w:hint="eastAsia" w:ascii="宋体" w:hAnsi="宋体" w:cs="宋体"/>
          <w:color w:val="000000" w:themeColor="text1"/>
        </w:rPr>
        <w:t xml:space="preserve">000.00元/吨；采购包4：</w:t>
      </w:r>
      <w:r>
        <w:rPr>
          <w:rFonts w:hint="eastAsia" w:ascii="宋体" w:hAnsi="宋体" w:cs="宋体"/>
          <w:color w:val="000000" w:themeColor="text1"/>
        </w:rPr>
        <w:t xml:space="preserve">200克/升</w:t>
      </w:r>
      <w:r>
        <w:rPr>
          <w:rFonts w:hint="eastAsia" w:ascii="宋体" w:hAnsi="宋体" w:cs="宋体"/>
          <w:color w:val="000000" w:themeColor="text1"/>
        </w:rPr>
        <w:t xml:space="preserve">氟唑菌酰羟胺500000.00元/吨；采购包5：戊唑·嘧菌酯350000.00元/吨；采购包6：稻瘟·三环唑80000.00元/吨。</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5日历天</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bookmarkEnd w:id="67"/>
      <w:r/>
      <w:r/>
    </w:p>
    <w:p>
      <w:pPr>
        <w:ind w:firstLine="422"/>
        <w:spacing w:line="360" w:lineRule="auto"/>
        <w:rPr>
          <w:rFonts w:hint="eastAsia" w:ascii="宋体" w:hAnsi="宋体" w:cs="宋体"/>
          <w:b/>
          <w:bCs/>
        </w:rPr>
      </w:pPr>
      <w:r>
        <w:rPr>
          <w:rFonts w:hint="eastAsia" w:ascii="宋体" w:hAnsi="宋体" w:cs="宋体"/>
          <w:b/>
          <w:bCs/>
        </w:rPr>
        <w:t xml:space="preserve">二、产品限价及要求：</w:t>
      </w:r>
      <w:r/>
    </w:p>
    <w:p>
      <w:pPr>
        <w:ind w:firstLine="420"/>
        <w:spacing w:line="360" w:lineRule="auto"/>
        <w:rPr>
          <w:rFonts w:ascii="Calibri Light" w:hAnsi="Calibri Light" w:eastAsia="黑体"/>
          <w:color w:val="2e74b5"/>
          <w:sz w:val="32"/>
          <w:szCs w:val="32"/>
        </w:rPr>
      </w:pPr>
      <w:r>
        <w:rPr>
          <w:rFonts w:hint="eastAsia" w:ascii="宋体" w:hAnsi="宋体" w:cs="宋体"/>
        </w:rPr>
        <w:t xml:space="preserve">1.产品名称及限价要求</w:t>
      </w:r>
      <w:r/>
    </w:p>
    <w:tbl>
      <w:tblPr>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843"/>
        <w:gridCol w:w="1134"/>
        <w:gridCol w:w="2409"/>
        <w:gridCol w:w="2127"/>
        <w:gridCol w:w="1405"/>
      </w:tblGrid>
      <w:tr>
        <w:trPr>
          <w:jc w:val="center"/>
          <w:trHeight w:val="737" w:hRule="exact"/>
        </w:trPr>
        <w:tc>
          <w:tcPr>
            <w:tcW w:w="846" w:type="dxa"/>
            <w:vAlign w:val="center"/>
            <w:textDirection w:val="lrTb"/>
            <w:noWrap w:val="false"/>
          </w:tcPr>
          <w:p>
            <w:pPr>
              <w:jc w:val="center"/>
              <w:spacing w:line="300" w:lineRule="auto"/>
              <w:rPr>
                <w:rFonts w:hint="eastAsia" w:ascii="宋体" w:hAnsi="宋体"/>
                <w:iCs/>
                <w:color w:val="000000"/>
                <w:szCs w:val="24"/>
              </w:rPr>
            </w:pPr>
            <w:r/>
            <w:bookmarkStart w:id="69" w:name="OLE_LINK5"/>
            <w:r>
              <w:rPr>
                <w:rFonts w:hint="eastAsia" w:ascii="宋体" w:hAnsi="宋体"/>
                <w:iCs/>
                <w:color w:val="000000"/>
                <w:szCs w:val="24"/>
              </w:rPr>
              <w:t xml:space="preserve">标包号</w:t>
            </w:r>
            <w:r/>
          </w:p>
        </w:tc>
        <w:tc>
          <w:tcPr>
            <w:tcW w:w="1843"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产品名称</w:t>
            </w:r>
            <w:r/>
          </w:p>
        </w:tc>
        <w:tc>
          <w:tcPr>
            <w:tcW w:w="1134"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预算金额</w:t>
            </w:r>
            <w:r/>
          </w:p>
          <w:p>
            <w:pPr>
              <w:jc w:val="center"/>
              <w:spacing w:line="300" w:lineRule="auto"/>
              <w:rPr>
                <w:rFonts w:hint="eastAsia" w:ascii="宋体" w:hAnsi="宋体"/>
                <w:iCs/>
                <w:color w:val="000000"/>
                <w:szCs w:val="24"/>
              </w:rPr>
            </w:pPr>
            <w:r>
              <w:rPr>
                <w:rFonts w:hint="eastAsia" w:ascii="宋体" w:hAnsi="宋体"/>
                <w:iCs/>
                <w:color w:val="000000"/>
                <w:szCs w:val="24"/>
              </w:rPr>
              <w:t xml:space="preserve">（万元）</w:t>
            </w:r>
            <w:r/>
          </w:p>
        </w:tc>
        <w:tc>
          <w:tcPr>
            <w:tcW w:w="2409" w:type="dxa"/>
            <w:vAlign w:val="center"/>
            <w:textDirection w:val="lrTb"/>
            <w:noWrap w:val="false"/>
          </w:tcPr>
          <w:p>
            <w:pPr>
              <w:jc w:val="center"/>
              <w:spacing w:line="300" w:lineRule="auto"/>
              <w:rPr>
                <w:rFonts w:hint="eastAsia" w:ascii="宋体" w:hAnsi="宋体"/>
                <w:b/>
                <w:bCs/>
                <w:iCs/>
                <w:color w:val="000000"/>
                <w:szCs w:val="24"/>
              </w:rPr>
            </w:pPr>
            <w:r>
              <w:rPr>
                <w:rFonts w:hint="eastAsia" w:ascii="宋体" w:hAnsi="宋体"/>
                <w:b/>
                <w:bCs/>
                <w:iCs/>
                <w:color w:val="000000"/>
                <w:szCs w:val="24"/>
              </w:rPr>
              <w:t xml:space="preserve">登记作物和对象</w:t>
            </w:r>
            <w:r/>
          </w:p>
        </w:tc>
        <w:tc>
          <w:tcPr>
            <w:tcW w:w="2127" w:type="dxa"/>
            <w:vAlign w:val="center"/>
            <w:textDirection w:val="lrTb"/>
            <w:noWrap w:val="false"/>
          </w:tcPr>
          <w:p>
            <w:pPr>
              <w:jc w:val="center"/>
              <w:spacing w:line="300" w:lineRule="auto"/>
              <w:rPr>
                <w:rFonts w:hint="eastAsia" w:ascii="宋体" w:hAnsi="宋体"/>
                <w:b/>
                <w:bCs/>
                <w:iCs/>
                <w:color w:val="000000"/>
                <w:szCs w:val="24"/>
              </w:rPr>
            </w:pPr>
            <w:r>
              <w:rPr>
                <w:rFonts w:hint="eastAsia" w:ascii="宋体" w:hAnsi="宋体"/>
                <w:b/>
                <w:bCs/>
                <w:iCs/>
                <w:color w:val="000000"/>
                <w:szCs w:val="24"/>
              </w:rPr>
              <w:t xml:space="preserve">最高限价单价</w:t>
            </w:r>
            <w:r/>
          </w:p>
          <w:p>
            <w:pPr>
              <w:jc w:val="center"/>
              <w:spacing w:line="300" w:lineRule="auto"/>
              <w:rPr>
                <w:rFonts w:hint="eastAsia" w:ascii="宋体" w:hAnsi="宋体"/>
                <w:b/>
                <w:bCs/>
                <w:iCs/>
                <w:color w:val="000000"/>
                <w:szCs w:val="24"/>
              </w:rPr>
            </w:pPr>
            <w:r>
              <w:rPr>
                <w:rFonts w:hint="eastAsia" w:ascii="宋体" w:hAnsi="宋体"/>
                <w:b/>
                <w:bCs/>
                <w:iCs/>
                <w:color w:val="ee0000"/>
                <w:szCs w:val="24"/>
              </w:rPr>
              <w:t xml:space="preserve">（产品单价/</w:t>
            </w:r>
            <w:r>
              <w:rPr>
                <w:rFonts w:hint="eastAsia" w:ascii="宋体" w:hAnsi="宋体" w:cs="宋体"/>
                <w:b/>
                <w:bCs/>
                <w:color w:val="ee0000"/>
                <w:szCs w:val="21"/>
              </w:rPr>
              <w:t xml:space="preserve">元</w:t>
            </w:r>
            <w:r>
              <w:rPr>
                <w:rFonts w:hint="eastAsia" w:ascii="宋体" w:hAnsi="宋体" w:cs="宋体"/>
                <w:b/>
                <w:bCs/>
                <w:color w:val="ee0000"/>
                <w:szCs w:val="21"/>
              </w:rPr>
              <w:t xml:space="preserve">/吨）</w:t>
            </w:r>
            <w:r/>
          </w:p>
        </w:tc>
        <w:tc>
          <w:tcPr>
            <w:tcW w:w="1405"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规格要求</w:t>
            </w:r>
            <w:bookmarkEnd w:id="69"/>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1</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肟菌·戊唑醇</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115.00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含小麦和水稻，每种作物至少登记两种病害</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300000.00</w:t>
            </w:r>
            <w:r/>
          </w:p>
        </w:tc>
        <w:tc>
          <w:tcPr>
            <w:tcW w:w="1405"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10亩和1亩大小规格数量根据采购方需求确定，各镇大小规格数量占比有差异</w:t>
            </w:r>
            <w:r/>
          </w:p>
        </w:tc>
      </w:tr>
      <w:tr>
        <w:trPr>
          <w:jc w:val="center"/>
          <w:trHeight w:val="796"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2</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井冈·戊唑醇</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110.00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含小麦和水稻</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90000.00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3</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30%</w:t>
            </w:r>
            <w:r>
              <w:rPr>
                <w:rFonts w:hint="eastAsia" w:ascii="宋体" w:hAnsi="宋体"/>
              </w:rPr>
              <w:t xml:space="preserve">丙硫菌唑</w:t>
            </w:r>
            <w:r/>
          </w:p>
          <w:p>
            <w:pPr>
              <w:jc w:val="center"/>
              <w:spacing w:line="300" w:lineRule="auto"/>
              <w:rPr>
                <w:rFonts w:hint="eastAsia" w:ascii="宋体" w:hAnsi="宋体" w:cs="宋体"/>
                <w:sz w:val="24"/>
                <w:szCs w:val="24"/>
              </w:rPr>
            </w:pPr>
            <w:r>
              <w:rPr>
                <w:rFonts w:hint="eastAsia" w:ascii="宋体" w:hAnsi="宋体"/>
              </w:rPr>
              <w:t xml:space="preserve">（带伴侣）</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55.00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含小麦赤霉病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155000</w:t>
            </w:r>
            <w:r>
              <w:rPr>
                <w:rFonts w:hint="eastAsia" w:ascii="宋体" w:hAnsi="宋体" w:cs="宋体"/>
                <w:b/>
                <w:bCs/>
                <w:color w:val="000000" w:themeColor="text1"/>
              </w:rPr>
              <w:t xml:space="preserve">.00</w:t>
            </w:r>
            <w:r>
              <w:rPr>
                <w:rFonts w:hint="eastAsia" w:ascii="宋体" w:hAnsi="宋体" w:cs="宋体"/>
                <w:b/>
                <w:bCs/>
                <w:szCs w:val="21"/>
              </w:rPr>
              <w:t xml:space="preserve"> </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4</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200</w:t>
            </w:r>
            <w:r>
              <w:rPr>
                <w:rFonts w:hint="eastAsia" w:ascii="宋体" w:hAnsi="宋体"/>
              </w:rPr>
              <w:t xml:space="preserve">克/升</w:t>
            </w:r>
            <w:r>
              <w:rPr>
                <w:rFonts w:hint="eastAsia" w:ascii="宋体" w:hAnsi="宋体"/>
              </w:rPr>
              <w:t xml:space="preserve">氟唑菌酰羟胺</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278.00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含小麦赤霉病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500000.00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5</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戊唑·嘧菌酯</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85.00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含小麦和水稻</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350000.00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6</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稻瘟·三环唑</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72.00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含水稻稻瘟病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80000.00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bl>
    <w:p>
      <w:pPr>
        <w:ind w:firstLine="440"/>
        <w:spacing w:line="360" w:lineRule="auto"/>
        <w:rPr>
          <w:rFonts w:hint="eastAsia" w:ascii="宋体" w:hAnsi="宋体"/>
        </w:rPr>
      </w:pPr>
      <w:r>
        <w:rPr>
          <w:rFonts w:hint="eastAsia" w:ascii="宋体" w:hAnsi="宋体"/>
        </w:rPr>
        <w:t xml:space="preserve">2.</w:t>
      </w:r>
      <w:r>
        <w:rPr>
          <w:rFonts w:hint="eastAsia" w:ascii="宋体" w:hAnsi="宋体"/>
        </w:rPr>
        <w:t xml:space="preserve">各产品供货方式与报价要求</w:t>
      </w:r>
      <w:r/>
    </w:p>
    <w:p>
      <w:pPr>
        <w:ind w:firstLine="440"/>
        <w:jc w:val="left"/>
        <w:spacing w:line="360" w:lineRule="auto"/>
        <w:rPr>
          <w:rFonts w:hint="eastAsia" w:ascii="宋体" w:hAnsi="宋体"/>
          <w:b/>
          <w:bCs/>
          <w:color w:val="000000" w:themeColor="text1"/>
        </w:rPr>
      </w:pPr>
      <w:r/>
      <w:bookmarkStart w:id="70" w:name="OLE_LINK4"/>
      <w:r>
        <w:rPr>
          <w:rFonts w:hint="eastAsia" w:ascii="宋体" w:hAnsi="宋体"/>
          <w:b/>
          <w:bCs/>
          <w:color w:val="000000" w:themeColor="text1"/>
        </w:rPr>
        <w:t xml:space="preserve">2</w:t>
      </w:r>
      <w:r>
        <w:rPr>
          <w:rFonts w:hint="eastAsia" w:ascii="宋体" w:hAnsi="宋体"/>
          <w:b/>
          <w:bCs/>
          <w:color w:val="000000" w:themeColor="text1"/>
        </w:rPr>
        <w:t xml:space="preserve">.1</w:t>
      </w:r>
      <w:bookmarkEnd w:id="70"/>
      <w:r>
        <w:rPr>
          <w:rFonts w:hint="eastAsia" w:ascii="宋体" w:hAnsi="宋体"/>
          <w:b/>
          <w:bCs/>
          <w:color w:val="000000" w:themeColor="text1"/>
        </w:rPr>
        <w:t xml:space="preserve">本项目采用折百报价方式报价，不论供应商的投标产品是何种含量，均须额外折算成100%的纯药单价，并按照报价表格式要求分别填报投标产品单价（元/吨）及折百单价（元/吨），报价分计算按折百单价（元/吨）计算，具体换算公式如下（小数点保留二位）：折百单价（元/吨）=产品单价（元/吨）/产品总有效成分含量</w:t>
      </w:r>
      <w:r>
        <w:rPr>
          <w:rFonts w:hint="eastAsia" w:ascii="宋体" w:hAnsi="宋体"/>
          <w:b/>
          <w:bCs/>
          <w:color w:val="000000" w:themeColor="text1"/>
        </w:rPr>
        <w:t xml:space="preserve">（按质量分数（%）计算）</w:t>
      </w:r>
      <w:r>
        <w:rPr>
          <w:rFonts w:hint="eastAsia" w:ascii="宋体" w:hAnsi="宋体"/>
          <w:b/>
          <w:bCs/>
          <w:color w:val="000000" w:themeColor="text1"/>
        </w:rPr>
        <w:t xml:space="preserve">。</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2.2</w:t>
      </w:r>
      <w:r>
        <w:rPr>
          <w:rFonts w:hint="eastAsia" w:ascii="宋体" w:hAnsi="宋体"/>
          <w:b/>
          <w:bCs/>
          <w:color w:val="000000" w:themeColor="text1"/>
        </w:rPr>
        <w:t xml:space="preserve">举例说明：</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如总有效成分含量为：30%的，质量分数（%）=30%，</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折百单价（元/吨）=产品单价（元/吨）/30%</w:t>
      </w:r>
      <w:r>
        <w:rPr>
          <w:rFonts w:hint="eastAsia" w:ascii="宋体" w:hAnsi="宋体"/>
          <w:b/>
          <w:bCs/>
          <w:color w:val="000000" w:themeColor="text1"/>
        </w:rPr>
        <w:t xml:space="preserve">;</w:t>
      </w:r>
      <w:r/>
    </w:p>
    <w:p>
      <w:pPr>
        <w:ind w:firstLine="440"/>
        <w:jc w:val="left"/>
        <w:spacing w:line="360" w:lineRule="auto"/>
        <w:rPr>
          <w:rFonts w:hint="eastAsia" w:ascii="宋体" w:hAnsi="宋体"/>
          <w:b/>
          <w:bCs/>
          <w:color w:val="ee0000"/>
        </w:rPr>
      </w:pPr>
      <w:r>
        <w:rPr>
          <w:rFonts w:hint="eastAsia" w:ascii="宋体" w:hAnsi="宋体"/>
          <w:b/>
          <w:bCs/>
          <w:color w:val="000000" w:themeColor="text1"/>
        </w:rPr>
        <w:t xml:space="preserve">如总有效成分为：200克/升的，应自行换算质量分数</w:t>
      </w:r>
      <w:r>
        <w:rPr>
          <w:rFonts w:hint="eastAsia" w:ascii="宋体" w:hAnsi="宋体"/>
          <w:b/>
          <w:bCs/>
          <w:color w:val="000000" w:themeColor="text1"/>
        </w:rPr>
        <w:t xml:space="preserve">套入</w:t>
      </w:r>
      <w:r>
        <w:rPr>
          <w:rFonts w:hint="eastAsia" w:ascii="宋体" w:hAnsi="宋体"/>
          <w:b/>
          <w:bCs/>
          <w:color w:val="000000" w:themeColor="text1"/>
        </w:rPr>
        <w:t xml:space="preserve">公式</w:t>
      </w:r>
      <w:r>
        <w:rPr>
          <w:rFonts w:hint="eastAsia" w:ascii="宋体" w:hAnsi="宋体"/>
          <w:b/>
          <w:bCs/>
          <w:color w:val="000000" w:themeColor="text1"/>
        </w:rPr>
        <w:t xml:space="preserve">计算</w:t>
      </w:r>
      <w:r>
        <w:rPr>
          <w:rFonts w:hint="eastAsia" w:ascii="宋体" w:hAnsi="宋体"/>
          <w:b/>
          <w:bCs/>
          <w:color w:val="000000" w:themeColor="text1"/>
        </w:rPr>
        <w:t xml:space="preserve">并提供测算依据原件扫描件（农药登记证信息有备注的按备注为准，无备注的按第三方检测机构出具的具有CMA认证标识的质量检测报告中质量分数基准值之合为准），如无测算依据导致评委无法复核计算的，报价分按0分处理，质量分数（%）换算公式：质量分数（%）=（有效成分含量：克 / 升 ÷ 制剂密度：克 / 升）× 100%</w:t>
      </w:r>
      <w:r>
        <w:rPr>
          <w:rFonts w:hint="eastAsia" w:ascii="宋体" w:hAnsi="宋体"/>
          <w:b/>
          <w:bCs/>
          <w:color w:val="000000" w:themeColor="text1"/>
        </w:rPr>
        <w:t xml:space="preserve">。</w:t>
      </w:r>
      <w:r/>
    </w:p>
    <w:p>
      <w:pPr>
        <w:ind w:firstLine="440"/>
        <w:jc w:val="left"/>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本项目各标包最终供货规格按照中标产品</w:t>
      </w:r>
      <w:r>
        <w:rPr>
          <w:rFonts w:hint="eastAsia" w:ascii="宋体" w:hAnsi="宋体"/>
          <w:color w:val="000000" w:themeColor="text1"/>
        </w:rPr>
        <w:t xml:space="preserve">有效成分含量</w:t>
      </w:r>
      <w:r>
        <w:rPr>
          <w:rFonts w:hint="eastAsia" w:ascii="宋体" w:hAnsi="宋体"/>
          <w:color w:val="000000" w:themeColor="text1"/>
        </w:rPr>
        <w:t xml:space="preserve">及采购人每亩有效成分使用需求</w:t>
      </w:r>
      <w:r>
        <w:rPr>
          <w:rFonts w:hint="eastAsia" w:ascii="宋体" w:hAnsi="宋体"/>
          <w:color w:val="000000" w:themeColor="text1"/>
        </w:rPr>
        <w:t xml:space="preserve">另行确定</w:t>
      </w:r>
      <w:r>
        <w:rPr>
          <w:rFonts w:hint="eastAsia" w:ascii="宋体" w:hAnsi="宋体"/>
          <w:color w:val="000000" w:themeColor="text1"/>
        </w:rPr>
        <w:t xml:space="preserve">。</w:t>
      </w:r>
      <w:r>
        <w:rPr>
          <w:rFonts w:hint="eastAsia" w:ascii="宋体" w:hAnsi="宋体"/>
          <w:color w:val="000000" w:themeColor="text1"/>
        </w:rPr>
        <w:t xml:space="preserve">（包</w:t>
      </w:r>
      <w:r>
        <w:rPr>
          <w:rFonts w:hint="eastAsia" w:ascii="宋体" w:hAnsi="宋体"/>
          <w:color w:val="000000" w:themeColor="text1"/>
        </w:rPr>
        <w:t xml:space="preserve">1</w:t>
      </w:r>
      <w:r>
        <w:rPr>
          <w:rFonts w:hint="eastAsia" w:ascii="宋体" w:hAnsi="宋体"/>
          <w:color w:val="000000" w:themeColor="text1"/>
        </w:rPr>
        <w:t xml:space="preserve">、包</w:t>
      </w:r>
      <w:r>
        <w:rPr>
          <w:rFonts w:hint="eastAsia" w:ascii="宋体" w:hAnsi="宋体"/>
          <w:color w:val="000000" w:themeColor="text1"/>
        </w:rPr>
        <w:t xml:space="preserve">2</w:t>
      </w:r>
      <w:r>
        <w:rPr>
          <w:rFonts w:hint="eastAsia" w:ascii="宋体" w:hAnsi="宋体"/>
          <w:color w:val="000000" w:themeColor="text1"/>
        </w:rPr>
        <w:t xml:space="preserve">每亩戊唑醇折百量≥8g供货，其余标包另行确定）</w:t>
      </w:r>
      <w:r/>
    </w:p>
    <w:p>
      <w:pPr>
        <w:ind w:firstLine="422"/>
        <w:spacing w:line="360" w:lineRule="auto"/>
        <w:rPr>
          <w:rFonts w:hint="eastAsia" w:ascii="宋体" w:hAnsi="宋体" w:cs="宋体"/>
          <w:b/>
          <w:bCs/>
          <w:i/>
          <w:iCs/>
          <w:u w:val="single"/>
        </w:rPr>
      </w:pPr>
      <w:r>
        <w:rPr>
          <w:rFonts w:hint="eastAsia" w:ascii="宋体" w:hAnsi="宋体" w:cs="宋体"/>
          <w:b/>
          <w:bCs/>
          <w:i/>
          <w:iCs/>
          <w:u w:val="single"/>
        </w:rPr>
        <w:t xml:space="preserve">3</w:t>
      </w:r>
      <w:r>
        <w:rPr>
          <w:rFonts w:hint="eastAsia" w:ascii="宋体" w:hAnsi="宋体" w:cs="宋体"/>
          <w:b/>
          <w:bCs/>
          <w:i/>
          <w:iCs/>
          <w:u w:val="single"/>
        </w:rPr>
        <w:t xml:space="preserve">.产品技术要求</w:t>
      </w:r>
      <w:r/>
    </w:p>
    <w:p>
      <w:pPr>
        <w:ind w:firstLine="422"/>
        <w:spacing w:line="360" w:lineRule="auto"/>
        <w:rPr>
          <w:rFonts w:hint="eastAsia" w:ascii="宋体" w:hAnsi="宋体" w:cs="宋体"/>
          <w:b/>
          <w:bCs/>
          <w:i/>
          <w:iCs/>
          <w:u w:val="single"/>
        </w:rPr>
      </w:pPr>
      <w:r>
        <w:rPr>
          <w:rFonts w:hint="eastAsia" w:ascii="宋体" w:hAnsi="宋体" w:cs="宋体"/>
          <w:b/>
          <w:bCs/>
          <w:i/>
          <w:iCs/>
          <w:color w:val="000000"/>
          <w:u w:val="single"/>
        </w:rPr>
        <w:t xml:space="preserve">所投农药产品须具有所投产品的农药登记证，农药生产许可证，农药标准文号，所投产品的各项技术指标与登记的产品相同</w:t>
      </w:r>
      <w:r>
        <w:rPr>
          <w:rFonts w:hint="eastAsia" w:ascii="宋体" w:hAnsi="宋体" w:cs="宋体"/>
          <w:b/>
          <w:bCs/>
          <w:i/>
          <w:iCs/>
          <w:color w:val="000000"/>
          <w:u w:val="single"/>
        </w:rPr>
        <w:t xml:space="preserve">，</w:t>
      </w:r>
      <w:r>
        <w:rPr>
          <w:rFonts w:hint="eastAsia" w:ascii="宋体" w:hAnsi="宋体" w:cs="宋体"/>
          <w:b/>
          <w:bCs/>
          <w:i/>
          <w:iCs/>
          <w:color w:val="000000"/>
          <w:u w:val="single"/>
        </w:rPr>
        <w:t xml:space="preserve">产品及</w:t>
      </w:r>
      <w:r>
        <w:rPr>
          <w:rFonts w:hint="eastAsia" w:ascii="宋体" w:hAnsi="宋体" w:cs="宋体"/>
          <w:b/>
          <w:bCs/>
          <w:i/>
          <w:iCs/>
          <w:color w:val="000000"/>
          <w:u w:val="single"/>
        </w:rPr>
        <w:t xml:space="preserve">登记作物和对象满足采购需求</w:t>
      </w:r>
      <w:r>
        <w:rPr>
          <w:rFonts w:hint="eastAsia" w:ascii="宋体" w:hAnsi="宋体" w:cs="宋体"/>
          <w:b/>
          <w:bCs/>
          <w:i/>
          <w:iCs/>
          <w:color w:val="000000"/>
          <w:u w:val="single"/>
        </w:rPr>
        <w:t xml:space="preserve">，且在有效期内；供应商须具有农药经营许可证，且在有效期内。（提供农药登记证、农药生产许可证、农药标准文号、农药经营许可证原件扫描件上传）</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三、其他要求：</w:t>
      </w:r>
      <w:r/>
    </w:p>
    <w:p>
      <w:pPr>
        <w:ind w:firstLine="420"/>
        <w:spacing w:line="360" w:lineRule="auto"/>
        <w:rPr>
          <w:rFonts w:hint="eastAsia" w:ascii="宋体" w:hAnsi="宋体"/>
        </w:rPr>
      </w:pPr>
      <w:r>
        <w:rPr>
          <w:rFonts w:hint="eastAsia" w:ascii="宋体" w:hAnsi="宋体"/>
        </w:rPr>
        <w:t xml:space="preserve">1.投标报价说明</w:t>
      </w:r>
      <w:r/>
    </w:p>
    <w:p>
      <w:pPr>
        <w:ind w:firstLine="420"/>
        <w:spacing w:line="360" w:lineRule="auto"/>
        <w:rPr>
          <w:rFonts w:hint="eastAsia" w:ascii="宋体" w:hAnsi="宋体"/>
          <w:b/>
          <w:bCs/>
        </w:rPr>
      </w:pPr>
      <w:r>
        <w:rPr>
          <w:rFonts w:hint="eastAsia" w:ascii="宋体" w:hAnsi="宋体"/>
        </w:rPr>
        <w:t xml:space="preserve">1.1本项目本项目开标一览表填报内容为所投产品</w:t>
      </w:r>
      <w:r>
        <w:rPr>
          <w:rFonts w:hint="eastAsia" w:ascii="宋体" w:hAnsi="宋体"/>
          <w:b/>
          <w:bCs/>
        </w:rPr>
        <w:t xml:space="preserve">投标单价</w:t>
      </w:r>
      <w:r>
        <w:rPr>
          <w:rFonts w:hint="eastAsia" w:ascii="宋体" w:hAnsi="宋体"/>
          <w:b/>
          <w:bCs/>
        </w:rPr>
        <w:t xml:space="preserve">及折百单价</w:t>
      </w:r>
      <w:r>
        <w:rPr>
          <w:rFonts w:hint="eastAsia" w:ascii="宋体" w:hAnsi="宋体"/>
          <w:b/>
          <w:bCs/>
        </w:rPr>
        <w:t xml:space="preserve">。</w:t>
      </w:r>
      <w:r/>
    </w:p>
    <w:p>
      <w:pPr>
        <w:ind w:firstLine="420"/>
        <w:spacing w:line="360" w:lineRule="auto"/>
        <w:rPr>
          <w:rFonts w:hint="eastAsia" w:ascii="宋体" w:hAnsi="宋体"/>
        </w:rPr>
      </w:pPr>
      <w:r>
        <w:rPr>
          <w:rFonts w:hint="eastAsia" w:ascii="宋体" w:hAnsi="宋体"/>
        </w:rPr>
        <w:t xml:space="preserve">1.2投标单价：不得超过最高限单价，合价：不得超过项目预算资金总额，数量：在不超过最高限单价及项目预算资金内所能提供的最多货物数量。</w:t>
      </w:r>
      <w:r/>
    </w:p>
    <w:p>
      <w:pPr>
        <w:ind w:firstLine="420"/>
        <w:spacing w:line="360" w:lineRule="auto"/>
        <w:rPr>
          <w:rFonts w:hint="eastAsia" w:ascii="宋体" w:hAnsi="宋体"/>
        </w:rPr>
      </w:pPr>
      <w:r>
        <w:rPr>
          <w:rFonts w:hint="eastAsia" w:ascii="宋体" w:hAnsi="宋体"/>
        </w:rPr>
        <w:t xml:space="preserve">2.投标供应商能按采购人要求将货物及时分别供应到指定地点，并完成卸货。供应商如提供假、冒、伪、劣商品，将按政府采购相关法律、法规进行处罚。</w:t>
      </w:r>
      <w:r/>
    </w:p>
    <w:p>
      <w:pPr>
        <w:ind w:firstLine="420"/>
        <w:spacing w:line="360" w:lineRule="auto"/>
        <w:rPr>
          <w:rFonts w:hint="eastAsia" w:ascii="宋体" w:hAnsi="宋体"/>
        </w:rPr>
      </w:pPr>
      <w:r>
        <w:rPr>
          <w:rFonts w:hint="eastAsia" w:ascii="宋体" w:hAnsi="宋体"/>
        </w:rPr>
        <w:t xml:space="preserve">3.本次采购中标后不允许转包、分包。</w:t>
      </w:r>
      <w:r/>
    </w:p>
    <w:p>
      <w:pPr>
        <w:ind w:firstLine="420"/>
        <w:spacing w:line="360" w:lineRule="auto"/>
        <w:rPr>
          <w:rFonts w:hint="eastAsia" w:ascii="宋体" w:hAnsi="宋体"/>
        </w:rPr>
      </w:pPr>
      <w:r>
        <w:rPr>
          <w:rFonts w:hint="eastAsia" w:ascii="宋体" w:hAnsi="宋体"/>
        </w:rPr>
        <w:t xml:space="preserve">4.投标报价应为完成本次采购所需的全部费用，包括</w:t>
      </w:r>
      <w:r>
        <w:rPr>
          <w:rFonts w:hint="eastAsia" w:ascii="宋体" w:hAnsi="宋体" w:cs="宋体"/>
          <w:szCs w:val="21"/>
        </w:rPr>
        <w:t xml:space="preserve">产品生产、</w:t>
      </w:r>
      <w:r>
        <w:rPr>
          <w:rFonts w:hint="eastAsia" w:ascii="宋体" w:hAnsi="宋体"/>
        </w:rPr>
        <w:t xml:space="preserve">运输、配送、卸货、售后服</w:t>
      </w:r>
      <w:r>
        <w:rPr>
          <w:rFonts w:hint="eastAsia" w:ascii="宋体" w:hAnsi="宋体" w:cs="宋体"/>
          <w:szCs w:val="21"/>
        </w:rPr>
        <w:t xml:space="preserve">务、税金、抽样检测以及供货全部工作需支付的一切费用和拟获得的利润，并考虑应承担的风险。</w:t>
      </w:r>
      <w:r>
        <w:rPr>
          <w:rFonts w:ascii="宋体" w:hAnsi="宋体" w:cs="宋体"/>
          <w:szCs w:val="21"/>
        </w:rPr>
        <w:t xml:space="preserve"> </w:t>
      </w:r>
      <w:r/>
    </w:p>
    <w:p>
      <w:pPr>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spacing w:line="360" w:lineRule="auto"/>
        <w:rPr>
          <w:rFonts w:hint="eastAsia" w:ascii="宋体" w:hAnsi="宋体"/>
          <w:b/>
          <w:bCs/>
        </w:rPr>
      </w:pPr>
      <w:r>
        <w:rPr>
          <w:rFonts w:hint="eastAsia" w:ascii="宋体" w:hAnsi="宋体" w:cs="宋体"/>
          <w:b/>
          <w:bCs/>
          <w:i/>
          <w:iCs/>
          <w:szCs w:val="21"/>
          <w:u w:val="single"/>
        </w:rPr>
        <w:t xml:space="preserve">6.货物质保期：抽检合格后至少</w:t>
      </w:r>
      <w:r>
        <w:rPr>
          <w:rFonts w:hint="eastAsia" w:ascii="宋体" w:hAnsi="宋体" w:cs="宋体"/>
          <w:b/>
          <w:bCs/>
          <w:i/>
          <w:iCs/>
          <w:szCs w:val="21"/>
          <w:u w:val="single"/>
        </w:rPr>
        <w:t xml:space="preserve">1.5</w:t>
      </w:r>
      <w:r>
        <w:rPr>
          <w:rFonts w:hint="eastAsia" w:ascii="宋体" w:hAnsi="宋体" w:cs="宋体"/>
          <w:b/>
          <w:bCs/>
          <w:i/>
          <w:iCs/>
          <w:szCs w:val="21"/>
          <w:u w:val="single"/>
        </w:rPr>
        <w:t xml:space="preserve">年。（提供承诺函原件扫描上传，承诺书格式自拟）</w:t>
      </w:r>
      <w:r/>
    </w:p>
    <w:p>
      <w:pPr>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7.供应商应承诺收到成交通知书后立即与采购人签订供货合同并在承诺时间内及时送货、供货，不得以其它理由拒绝。并且可以根据乡镇统计农户实际种植面积确定大小包装数量，要求不同包装同单价。（提供承诺函原件扫描上传，承诺书格式自拟）</w:t>
      </w:r>
      <w:r/>
    </w:p>
    <w:p>
      <w:pPr>
        <w:ind w:firstLine="422"/>
        <w:spacing w:line="360" w:lineRule="auto"/>
        <w:rPr>
          <w:rFonts w:hint="eastAsia" w:ascii="宋体" w:hAnsi="宋体" w:cs="宋体"/>
          <w:b/>
          <w:bCs/>
          <w:szCs w:val="21"/>
        </w:rPr>
      </w:pPr>
      <w:r>
        <w:rPr>
          <w:rFonts w:hint="eastAsia" w:ascii="宋体" w:hAnsi="宋体" w:cs="宋体"/>
          <w:b/>
          <w:bCs/>
          <w:szCs w:val="21"/>
        </w:rPr>
        <w:t xml:space="preserve">8.本项目分为6个标包，投标人可参与所有标包的投标，但只可按包1→包2→包3→包4→包5→包6的顺序中其中一个标包。</w:t>
      </w:r>
      <w:r/>
    </w:p>
    <w:p>
      <w:pPr>
        <w:pStyle w:val="742"/>
        <w:ind w:firstLine="422"/>
        <w:jc w:val="center"/>
        <w:spacing w:before="0" w:after="0" w:line="360" w:lineRule="auto"/>
        <w:rPr>
          <w:rFonts w:hint="eastAsia" w:ascii="宋体" w:hAnsi="宋体"/>
          <w:color w:val="000000" w:themeColor="text1"/>
        </w:rPr>
      </w:pPr>
      <w:r>
        <w:rPr>
          <w:rFonts w:hint="eastAsia" w:ascii="宋体" w:hAnsi="宋体"/>
          <w:color w:val="000000" w:themeColor="text1"/>
          <w:sz w:val="21"/>
          <w:szCs w:val="22"/>
        </w:rPr>
        <w:br w:type="page" w:clear="all"/>
      </w:r>
      <w:bookmarkStart w:id="71" w:name="_Toc190211628"/>
      <w:r>
        <w:rPr>
          <w:rFonts w:hint="eastAsia" w:ascii="宋体" w:hAnsi="宋体"/>
          <w:color w:val="000000" w:themeColor="text1"/>
        </w:rPr>
        <w:t xml:space="preserve">第五章 评标方法及评标标准</w:t>
      </w:r>
      <w:bookmarkEnd w:id="68"/>
      <w:r/>
      <w:bookmarkEnd w:id="71"/>
      <w:r/>
      <w:r/>
    </w:p>
    <w:p>
      <w:pPr>
        <w:pStyle w:val="944"/>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44"/>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themeColor="text1"/>
          <w:szCs w:val="21"/>
        </w:rPr>
      </w:pPr>
      <w:r/>
      <w:bookmarkStart w:id="72" w:name="_Toc449016388"/>
      <w:r/>
      <w:bookmarkStart w:id="73"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72"/>
      <w:r/>
      <w:bookmarkEnd w:id="73"/>
      <w:r/>
      <w:r/>
    </w:p>
    <w:p>
      <w:pPr>
        <w:ind w:firstLine="420"/>
        <w:spacing w:line="360" w:lineRule="auto"/>
        <w:rPr>
          <w:rFonts w:hint="eastAsia" w:ascii="宋体" w:hAnsi="宋体"/>
          <w:b/>
          <w:color w:val="000000" w:themeColor="text1"/>
          <w:szCs w:val="21"/>
        </w:rPr>
      </w:pPr>
      <w:r>
        <w:rPr>
          <w:rFonts w:ascii="宋体" w:hAnsi="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4"/>
        <w:ind w:left="315" w:firstLine="105"/>
        <w:rPr>
          <w:rFonts w:hint="eastAsia"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（1）本项目对小型和微型企业产品给予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（2）供应商需按照采购文件的要求提供相应的《</w:t>
      </w:r>
      <w:r>
        <w:rPr>
          <w:rFonts w:hint="eastAsia" w:ascii="宋体" w:hAnsi="宋体"/>
          <w:color w:val="000000" w:themeColor="text1"/>
          <w:sz w:val="21"/>
          <w:szCs w:val="21"/>
        </w:rPr>
        <w:t xml:space="preserve">中小</w:t>
      </w:r>
      <w:r>
        <w:rPr>
          <w:rFonts w:ascii="宋体" w:hAnsi="宋体"/>
          <w:color w:val="000000" w:themeColor="text1"/>
          <w:sz w:val="21"/>
          <w:szCs w:val="21"/>
        </w:rPr>
        <w:t xml:space="preserve">企业声明函》。</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（1）本项目对残疾人福利性单位视同小型、微型企业，给予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（3）残疾人福利单位标准请参照《关于促进残疾人就业政府采购政策的通知》（财库2017〕141号）。</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（1）本项目对监狱和戒毒企业（简称监狱企业）视同小型、微型企业，给予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w:t>
      </w:r>
      <w:r>
        <w:rPr>
          <w:rFonts w:hint="eastAsia" w:ascii="宋体" w:hAnsi="宋体"/>
          <w:color w:val="000000" w:themeColor="text1"/>
          <w:sz w:val="21"/>
          <w:szCs w:val="21"/>
        </w:rPr>
        <w:t xml:space="preserve">（</w:t>
      </w:r>
      <w:r>
        <w:rPr>
          <w:rFonts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出具的属于监狱企业的证明文件。供应商如不提供上述证明文件，价格将不做相应扣除。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（3）监狱企业标准请参照《关于政府采购支持监狱企业发展有关问题的通知》（财库[2014]68号）。</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三、评标标准</w:t>
      </w:r>
      <w:r/>
    </w:p>
    <w:tbl>
      <w:tblPr>
        <w:tblW w:w="10485"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Look w:val="04A0" w:firstRow="1" w:lastRow="0" w:firstColumn="1" w:lastColumn="0" w:noHBand="0" w:noVBand="1"/>
      </w:tblPr>
      <w:tblGrid>
        <w:gridCol w:w="1232"/>
        <w:gridCol w:w="1276"/>
        <w:gridCol w:w="7126"/>
        <w:gridCol w:w="851"/>
      </w:tblGrid>
      <w:tr>
        <w:trPr>
          <w:cantSplit/>
          <w:jc w:val="center"/>
          <w:trHeight w:val="7"/>
        </w:trPr>
        <w:tc>
          <w:tcPr>
            <w:gridSpan w:val="2"/>
            <w:tcW w:w="2508" w:type="dxa"/>
            <w:vAlign w:val="center"/>
            <w:textDirection w:val="lrTb"/>
            <w:noWrap/>
          </w:tcPr>
          <w:p>
            <w:pPr>
              <w:pStyle w:val="959"/>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评分项目</w:t>
            </w:r>
            <w:r/>
          </w:p>
        </w:tc>
        <w:tc>
          <w:tcPr>
            <w:tcW w:w="7126" w:type="dxa"/>
            <w:vAlign w:val="center"/>
            <w:textDirection w:val="lrTb"/>
            <w:noWrap/>
          </w:tcPr>
          <w:p>
            <w:pPr>
              <w:pStyle w:val="959"/>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评分细则</w:t>
            </w:r>
            <w:r/>
          </w:p>
        </w:tc>
        <w:tc>
          <w:tcPr>
            <w:tcW w:w="851" w:type="dxa"/>
            <w:vAlign w:val="center"/>
            <w:textDirection w:val="lrTb"/>
            <w:noWrap/>
          </w:tcPr>
          <w:p>
            <w:pPr>
              <w:pStyle w:val="959"/>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分数</w:t>
            </w:r>
            <w:r/>
          </w:p>
        </w:tc>
      </w:tr>
      <w:tr>
        <w:trPr>
          <w:cantSplit/>
          <w:jc w:val="center"/>
          <w:trHeight w:val="7"/>
        </w:trPr>
        <w:tc>
          <w:tcPr>
            <w:gridSpan w:val="2"/>
            <w:tcW w:w="2508"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投标价格（30分）</w:t>
            </w:r>
            <w:r/>
          </w:p>
        </w:tc>
        <w:tc>
          <w:tcPr>
            <w:tcW w:w="7126" w:type="dxa"/>
            <w:vAlign w:val="center"/>
            <w:textDirection w:val="lrTb"/>
            <w:noWrap/>
          </w:tcPr>
          <w:p>
            <w:pPr>
              <w:pStyle w:val="959"/>
              <w:jc w:val="left"/>
              <w:spacing w:line="300" w:lineRule="auto"/>
              <w:rPr>
                <w:rFonts w:hint="eastAsia" w:ascii="宋体" w:hAnsi="宋体" w:cs="仿宋"/>
                <w:color w:val="000000" w:themeColor="text1"/>
                <w:szCs w:val="21"/>
              </w:rPr>
            </w:pPr>
            <w:r/>
            <w:bookmarkStart w:id="74" w:name="OLE_LINK11"/>
            <w:r>
              <w:rPr>
                <w:rFonts w:hint="eastAsia" w:ascii="宋体" w:hAnsi="宋体" w:cs="仿宋"/>
                <w:bCs/>
                <w:color w:val="000000" w:themeColor="text1"/>
                <w:spacing w:val="-4"/>
                <w:szCs w:val="21"/>
              </w:rPr>
              <w:t xml:space="preserve">采用低价优先法计算，即满足招标文件要求且投标价格低的投标报价为评标基准价，其价格分为满分。其他投标人的价格分按照下列公式计算（小数点保留二位）：投标报价得分=（评标基准价/投标报价）*30</w:t>
            </w:r>
            <w:bookmarkEnd w:id="74"/>
            <w:r/>
            <w:r/>
          </w:p>
        </w:tc>
        <w:tc>
          <w:tcPr>
            <w:tcW w:w="851"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30</w:t>
            </w:r>
            <w:r/>
          </w:p>
        </w:tc>
      </w:tr>
      <w:tr>
        <w:trPr>
          <w:cantSplit/>
          <w:jc w:val="center"/>
          <w:trHeight w:val="7"/>
        </w:trPr>
        <w:tc>
          <w:tcPr>
            <w:tcW w:w="1232" w:type="dxa"/>
            <w:vAlign w:val="center"/>
            <w:vMerge w:val="restart"/>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企业综合性能</w:t>
            </w:r>
            <w:r/>
          </w:p>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(33分)</w:t>
            </w:r>
            <w:r/>
          </w:p>
        </w:tc>
        <w:tc>
          <w:tcPr>
            <w:tcW w:w="1276" w:type="dxa"/>
            <w:vAlign w:val="center"/>
            <w:textDirection w:val="lrTb"/>
            <w:noWrap/>
          </w:tcPr>
          <w:p>
            <w:pPr>
              <w:pStyle w:val="960"/>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业绩（12分）</w:t>
            </w:r>
            <w:r/>
          </w:p>
        </w:tc>
        <w:tc>
          <w:tcPr>
            <w:tcW w:w="7126" w:type="dxa"/>
            <w:vAlign w:val="center"/>
            <w:textDirection w:val="lrTb"/>
            <w:noWrap/>
          </w:tcPr>
          <w:p>
            <w:pPr>
              <w:pStyle w:val="960"/>
              <w:jc w:val="left"/>
              <w:spacing w:line="300" w:lineRule="auto"/>
              <w:rPr>
                <w:rFonts w:hint="eastAsia" w:ascii="宋体" w:hAnsi="宋体" w:cs="仿宋"/>
                <w:bCs/>
                <w:color w:val="000000" w:themeColor="text1"/>
                <w:szCs w:val="21"/>
              </w:rPr>
            </w:pPr>
            <w:r>
              <w:rPr>
                <w:rFonts w:hint="eastAsia" w:ascii="宋体" w:hAnsi="宋体" w:cs="仿宋"/>
                <w:color w:val="000000" w:themeColor="text1"/>
                <w:szCs w:val="21"/>
              </w:rPr>
              <w:t xml:space="preserve">2022年1月1日以来（以合同签订时间为准），投标人承担过类似农药供货项目业绩的，每提供一项得2分，最高得12分。</w:t>
            </w:r>
            <w:r>
              <w:rPr>
                <w:rFonts w:hint="eastAsia" w:ascii="宋体" w:hAnsi="宋体" w:cs="仿宋"/>
                <w:b/>
                <w:bCs/>
                <w:color w:val="000000" w:themeColor="text1"/>
                <w:szCs w:val="21"/>
              </w:rPr>
              <w:t xml:space="preserve">（提供合同、中标（成交）通知书原件扫描上传</w:t>
            </w:r>
            <w:r>
              <w:rPr>
                <w:rFonts w:hint="eastAsia" w:ascii="宋体" w:hAnsi="宋体" w:cs="仿宋"/>
                <w:b/>
                <w:bCs/>
                <w:color w:val="000000" w:themeColor="text1"/>
                <w:szCs w:val="21"/>
              </w:rPr>
              <w:t xml:space="preserve">）</w:t>
            </w:r>
            <w:r/>
          </w:p>
        </w:tc>
        <w:tc>
          <w:tcPr>
            <w:tcW w:w="851"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12</w:t>
            </w:r>
            <w:r/>
          </w:p>
        </w:tc>
      </w:tr>
      <w:tr>
        <w:trPr>
          <w:cantSplit/>
          <w:jc w:val="center"/>
          <w:trHeight w:val="7"/>
        </w:trPr>
        <w:tc>
          <w:tcPr>
            <w:tcW w:w="1232" w:type="dxa"/>
            <w:vAlign w:val="center"/>
            <w:vMerge w:val="continue"/>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60"/>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体系认证（3分）</w:t>
            </w:r>
            <w:r/>
          </w:p>
        </w:tc>
        <w:tc>
          <w:tcPr>
            <w:tcW w:w="7126" w:type="dxa"/>
            <w:vAlign w:val="center"/>
            <w:textDirection w:val="lrTb"/>
            <w:noWrap/>
          </w:tcPr>
          <w:p>
            <w:pPr>
              <w:pStyle w:val="960"/>
              <w:jc w:val="left"/>
              <w:spacing w:line="300" w:lineRule="auto"/>
              <w:rPr>
                <w:rFonts w:hint="eastAsia" w:ascii="宋体" w:hAnsi="宋体" w:cs="仿宋"/>
                <w:color w:val="000000" w:themeColor="text1"/>
                <w:szCs w:val="21"/>
              </w:rPr>
            </w:pPr>
            <w:r>
              <w:rPr>
                <w:rFonts w:hint="eastAsia" w:ascii="宋体" w:hAnsi="宋体" w:cs="仿宋"/>
                <w:color w:val="000000" w:themeColor="text1"/>
              </w:rPr>
              <w:t xml:space="preserve">投标人或所投产品制造商具有有效期内的质量管理体系认证证书得1分；具有有效期内的环境管理体系认证证书得1分；具有有效期内的职业健康管理体系认证证书得1分；满分3分。</w:t>
            </w:r>
            <w:r>
              <w:rPr>
                <w:rFonts w:hint="eastAsia" w:ascii="宋体" w:hAnsi="宋体" w:cs="仿宋"/>
                <w:b/>
                <w:bCs/>
                <w:color w:val="000000" w:themeColor="text1"/>
              </w:rPr>
              <w:t xml:space="preserve">（提供有效期内的认证证书原件扫描件及国家认监委网站【全国认证认可信息公共服务平台(http://cx.cnca.cn)】查询截图</w:t>
            </w:r>
            <w:r>
              <w:rPr>
                <w:rFonts w:hint="eastAsia" w:ascii="宋体" w:hAnsi="宋体" w:cs="仿宋"/>
                <w:b/>
                <w:bCs/>
                <w:color w:val="000000" w:themeColor="text1"/>
              </w:rPr>
              <w:t xml:space="preserve">，</w:t>
            </w:r>
            <w:r>
              <w:rPr>
                <w:rFonts w:hint="eastAsia" w:ascii="宋体" w:hAnsi="宋体" w:cs="仿宋"/>
                <w:b/>
                <w:bCs/>
                <w:color w:val="000000" w:themeColor="text1"/>
              </w:rPr>
              <w:t xml:space="preserve">截图需显示证书状态为有效）</w:t>
            </w:r>
            <w:r/>
          </w:p>
        </w:tc>
        <w:tc>
          <w:tcPr>
            <w:tcW w:w="851"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w:t>
            </w:r>
            <w:r/>
          </w:p>
        </w:tc>
      </w:tr>
      <w:tr>
        <w:trPr>
          <w:cantSplit/>
          <w:jc w:val="center"/>
          <w:trHeight w:val="7"/>
        </w:trPr>
        <w:tc>
          <w:tcPr>
            <w:tcW w:w="1232" w:type="dxa"/>
            <w:vAlign w:val="center"/>
            <w:vMerge w:val="continue"/>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企业实力（12分）</w:t>
            </w:r>
            <w:r/>
          </w:p>
        </w:tc>
        <w:tc>
          <w:tcPr>
            <w:tcW w:w="7126" w:type="dxa"/>
            <w:vAlign w:val="center"/>
            <w:textDirection w:val="lrTb"/>
            <w:noWrap/>
          </w:tcPr>
          <w:p>
            <w:pPr>
              <w:pStyle w:val="960"/>
              <w:jc w:val="left"/>
              <w:spacing w:line="300" w:lineRule="auto"/>
              <w:rPr>
                <w:rFonts w:hint="eastAsia" w:ascii="宋体" w:hAnsi="宋体" w:cs="仿宋"/>
                <w:bCs/>
                <w:color w:val="000000" w:themeColor="text1"/>
                <w:szCs w:val="21"/>
              </w:rPr>
            </w:pPr>
            <w:r>
              <w:rPr>
                <w:rFonts w:hint="eastAsia" w:ascii="宋体" w:hAnsi="宋体" w:cs="仿宋"/>
                <w:color w:val="000000" w:themeColor="text1"/>
              </w:rPr>
              <w:t xml:space="preserve">投</w:t>
            </w:r>
            <w:r>
              <w:rPr>
                <w:rFonts w:hint="eastAsia" w:ascii="宋体" w:hAnsi="宋体" w:cs="仿宋"/>
              </w:rPr>
              <w:t xml:space="preserve">标人或</w:t>
            </w:r>
            <w:r>
              <w:rPr>
                <w:rFonts w:hint="eastAsia" w:ascii="宋体" w:hAnsi="宋体" w:cs="仿宋"/>
                <w:color w:val="000000" w:themeColor="text1"/>
              </w:rPr>
              <w:t xml:space="preserve">所投产品制造商</w:t>
            </w:r>
            <w:r>
              <w:rPr>
                <w:rFonts w:hint="eastAsia" w:ascii="宋体" w:hAnsi="宋体" w:cs="仿宋"/>
              </w:rPr>
              <w:t xml:space="preserve">获</w:t>
            </w:r>
            <w:r>
              <w:rPr>
                <w:rFonts w:hint="eastAsia" w:ascii="宋体" w:hAnsi="宋体" w:cs="仿宋"/>
              </w:rPr>
              <w:t xml:space="preserve">得过</w:t>
            </w:r>
            <w:r>
              <w:rPr>
                <w:rFonts w:hint="eastAsia" w:ascii="宋体" w:hAnsi="宋体" w:cs="仿宋"/>
              </w:rPr>
              <w:t xml:space="preserve">相关部门奖励荣誉或专利技术证书、</w:t>
            </w:r>
            <w:r>
              <w:rPr>
                <w:rFonts w:hint="eastAsia" w:ascii="宋体" w:hAnsi="宋体" w:cs="仿宋"/>
                <w:bCs/>
                <w:szCs w:val="21"/>
              </w:rPr>
              <w:t xml:space="preserve">成果鉴定书、试验示范报告、环保产品证明等，</w:t>
            </w:r>
            <w:r>
              <w:rPr>
                <w:rFonts w:hint="eastAsia" w:ascii="宋体" w:hAnsi="宋体" w:cs="仿宋"/>
              </w:rPr>
              <w:t xml:space="preserve">每有</w:t>
            </w:r>
            <w:r>
              <w:rPr>
                <w:rFonts w:hint="eastAsia" w:ascii="宋体" w:hAnsi="宋体" w:cs="仿宋"/>
                <w:color w:val="000000" w:themeColor="text1"/>
              </w:rPr>
              <w:t xml:space="preserve">一项得3分，最高12分。</w:t>
            </w:r>
            <w:r>
              <w:rPr>
                <w:rFonts w:hint="eastAsia" w:ascii="宋体" w:hAnsi="宋体" w:cs="仿宋"/>
                <w:b/>
                <w:bCs/>
                <w:color w:val="000000" w:themeColor="text1"/>
              </w:rPr>
              <w:t xml:space="preserve">（提供证明材料原件扫描上传）</w:t>
            </w:r>
            <w:r/>
          </w:p>
        </w:tc>
        <w:tc>
          <w:tcPr>
            <w:tcW w:w="851"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12</w:t>
            </w:r>
            <w:r/>
          </w:p>
        </w:tc>
      </w:tr>
      <w:tr>
        <w:trPr>
          <w:cantSplit/>
          <w:jc w:val="center"/>
          <w:trHeight w:val="7"/>
        </w:trPr>
        <w:tc>
          <w:tcPr>
            <w:tcW w:w="1232" w:type="dxa"/>
            <w:vAlign w:val="center"/>
            <w:vMerge w:val="continue"/>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59"/>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产品检测报告（6分）</w:t>
            </w:r>
            <w:r/>
          </w:p>
        </w:tc>
        <w:tc>
          <w:tcPr>
            <w:tcW w:w="7126" w:type="dxa"/>
            <w:vAlign w:val="center"/>
            <w:textDirection w:val="lrTb"/>
            <w:noWrap/>
          </w:tcPr>
          <w:p>
            <w:pPr>
              <w:pStyle w:val="959"/>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所投产品具</w:t>
            </w:r>
            <w:r>
              <w:rPr>
                <w:rFonts w:hint="eastAsia" w:ascii="宋体" w:hAnsi="宋体" w:cs="仿宋"/>
                <w:bCs/>
                <w:color w:val="000000" w:themeColor="text1"/>
              </w:rPr>
              <w:t xml:space="preserve">有</w:t>
            </w:r>
            <w:r>
              <w:rPr>
                <w:rFonts w:hint="eastAsia" w:ascii="宋体" w:hAnsi="宋体" w:cs="仿宋"/>
                <w:bCs/>
                <w:color w:val="000000" w:themeColor="text1"/>
              </w:rPr>
              <w:t xml:space="preserve">第三方检测机构出具的具有CMA认证标识的质量检测报告</w:t>
            </w:r>
            <w:r>
              <w:rPr>
                <w:rFonts w:hint="eastAsia" w:ascii="宋体" w:hAnsi="宋体" w:cs="仿宋"/>
                <w:bCs/>
                <w:color w:val="000000" w:themeColor="text1"/>
              </w:rPr>
              <w:t xml:space="preserve">得6分</w:t>
            </w:r>
            <w:r>
              <w:rPr>
                <w:rFonts w:hint="eastAsia" w:ascii="宋体" w:hAnsi="宋体" w:cs="仿宋"/>
                <w:bCs/>
                <w:color w:val="000000" w:themeColor="text1"/>
              </w:rPr>
              <w:t xml:space="preserve">。</w:t>
            </w:r>
            <w:r>
              <w:rPr>
                <w:rFonts w:hint="eastAsia" w:ascii="宋体" w:hAnsi="宋体" w:cs="仿宋"/>
                <w:b/>
                <w:color w:val="000000" w:themeColor="text1"/>
              </w:rPr>
              <w:t xml:space="preserve">（提供检测报告原件扫描上传）</w:t>
            </w:r>
            <w:r/>
          </w:p>
        </w:tc>
        <w:tc>
          <w:tcPr>
            <w:tcW w:w="851"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6</w:t>
            </w:r>
            <w:r/>
          </w:p>
        </w:tc>
      </w:tr>
      <w:tr>
        <w:trPr>
          <w:cantSplit/>
          <w:jc w:val="center"/>
          <w:trHeight w:val="7"/>
        </w:trPr>
        <w:tc>
          <w:tcPr>
            <w:tcBorders>
              <w:right w:val="single" w:color="auto" w:sz="4" w:space="0"/>
            </w:tcBorders>
            <w:tcW w:w="1232" w:type="dxa"/>
            <w:vAlign w:val="center"/>
            <w:vMerge w:val="restart"/>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技术方案</w:t>
            </w:r>
            <w:r/>
          </w:p>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（37分）</w:t>
            </w:r>
            <w:r/>
          </w:p>
        </w:tc>
        <w:tc>
          <w:tcPr>
            <w:tcBorders>
              <w:left w:val="single" w:color="auto" w:sz="4" w:space="0"/>
              <w:bottom w:val="single" w:color="auto" w:sz="4" w:space="0"/>
            </w:tcBorders>
            <w:tcW w:w="1276"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企业管理（</w:t>
            </w:r>
            <w:r>
              <w:rPr>
                <w:rFonts w:hint="eastAsia" w:ascii="宋体" w:hAnsi="宋体" w:cs="仿宋"/>
                <w:bCs/>
                <w:color w:val="000000" w:themeColor="text1"/>
              </w:rPr>
              <w:t xml:space="preserve">8</w:t>
            </w:r>
            <w:r>
              <w:rPr>
                <w:rFonts w:hint="eastAsia" w:ascii="宋体" w:hAnsi="宋体" w:cs="仿宋"/>
                <w:bCs/>
                <w:color w:val="000000" w:themeColor="text1"/>
              </w:rPr>
              <w:t xml:space="preserve">分）</w:t>
            </w:r>
            <w:r/>
          </w:p>
        </w:tc>
        <w:tc>
          <w:tcPr>
            <w:tcW w:w="7126" w:type="dxa"/>
            <w:vAlign w:val="center"/>
            <w:textDirection w:val="lrTb"/>
            <w:noWrap/>
          </w:tcPr>
          <w:p>
            <w:pPr>
              <w:pStyle w:val="959"/>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关键质量控制技术，管理制度健全，包括产品储存、运输、保管、销售等。企业管理严格，规章制度健全得</w:t>
            </w:r>
            <w:r>
              <w:rPr>
                <w:rFonts w:hint="eastAsia" w:ascii="宋体" w:hAnsi="宋体" w:cs="仿宋"/>
                <w:bCs/>
                <w:color w:val="000000" w:themeColor="text1"/>
              </w:rPr>
              <w:t xml:space="preserve">8</w:t>
            </w:r>
            <w:r>
              <w:rPr>
                <w:rFonts w:hint="eastAsia" w:ascii="宋体" w:hAnsi="宋体" w:cs="仿宋"/>
                <w:bCs/>
                <w:color w:val="000000" w:themeColor="text1"/>
              </w:rPr>
              <w:t xml:space="preserve">分，基本健全得</w:t>
            </w:r>
            <w:r>
              <w:rPr>
                <w:rFonts w:hint="eastAsia" w:ascii="宋体" w:hAnsi="宋体" w:cs="仿宋"/>
                <w:bCs/>
                <w:color w:val="000000" w:themeColor="text1"/>
              </w:rPr>
              <w:t xml:space="preserve">5</w:t>
            </w:r>
            <w:r>
              <w:rPr>
                <w:rFonts w:hint="eastAsia" w:ascii="宋体" w:hAnsi="宋体" w:cs="仿宋"/>
                <w:bCs/>
                <w:color w:val="000000" w:themeColor="text1"/>
              </w:rPr>
              <w:t xml:space="preserve">分，一般得</w:t>
            </w:r>
            <w:r>
              <w:rPr>
                <w:rFonts w:hint="eastAsia" w:ascii="宋体" w:hAnsi="宋体" w:cs="仿宋"/>
                <w:bCs/>
                <w:color w:val="000000" w:themeColor="text1"/>
              </w:rPr>
              <w:t xml:space="preserve">2</w:t>
            </w:r>
            <w:r>
              <w:rPr>
                <w:rFonts w:hint="eastAsia" w:ascii="宋体" w:hAnsi="宋体" w:cs="仿宋"/>
                <w:bCs/>
                <w:color w:val="000000" w:themeColor="text1"/>
              </w:rPr>
              <w:t xml:space="preserve">分；未提供的不得分。</w:t>
            </w:r>
            <w:r/>
          </w:p>
        </w:tc>
        <w:tc>
          <w:tcPr>
            <w:tcW w:w="851"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8</w:t>
            </w:r>
            <w:r/>
          </w:p>
        </w:tc>
      </w:tr>
      <w:tr>
        <w:trPr>
          <w:cantSplit/>
          <w:jc w:val="center"/>
          <w:trHeight w:val="7"/>
        </w:trPr>
        <w:tc>
          <w:tcPr>
            <w:tcBorders>
              <w:right w:val="single" w:color="auto" w:sz="4" w:space="0"/>
            </w:tcBorders>
            <w:tcW w:w="1232" w:type="dxa"/>
            <w:vAlign w:val="center"/>
            <w:vMerge w:val="continue"/>
            <w:textDirection w:val="lrTb"/>
            <w:noWrap/>
          </w:tcPr>
          <w:p>
            <w:pPr>
              <w:pStyle w:val="960"/>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59"/>
              <w:ind w:left="-106" w:hanging="1"/>
              <w:jc w:val="center"/>
              <w:spacing w:line="300" w:lineRule="auto"/>
              <w:rPr>
                <w:rFonts w:hint="eastAsia" w:ascii="宋体" w:hAnsi="宋体" w:cs="仿宋"/>
                <w:color w:val="000000" w:themeColor="text1"/>
              </w:rPr>
            </w:pPr>
            <w:r>
              <w:rPr>
                <w:rFonts w:hint="eastAsia" w:ascii="宋体" w:hAnsi="宋体" w:cs="仿宋"/>
                <w:color w:val="000000" w:themeColor="text1"/>
                <w:szCs w:val="21"/>
              </w:rPr>
              <w:t xml:space="preserve">生产工艺及质量控制（</w:t>
            </w:r>
            <w:r>
              <w:rPr>
                <w:rFonts w:hint="eastAsia" w:ascii="宋体" w:hAnsi="宋体" w:cs="仿宋"/>
                <w:color w:val="000000" w:themeColor="text1"/>
                <w:szCs w:val="21"/>
              </w:rPr>
              <w:t xml:space="preserve">8</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59"/>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生产设备齐全，与生产能力匹配，工艺先进等。各类生产设备齐全与生产能力匹配、机械化程度高，工艺先进、合理的，得</w:t>
            </w:r>
            <w:r>
              <w:rPr>
                <w:rFonts w:hint="eastAsia" w:ascii="宋体" w:hAnsi="宋体" w:cs="仿宋"/>
                <w:bCs/>
                <w:color w:val="000000" w:themeColor="text1"/>
              </w:rPr>
              <w:t xml:space="preserve">8</w:t>
            </w:r>
            <w:r>
              <w:rPr>
                <w:rFonts w:hint="eastAsia" w:ascii="宋体" w:hAnsi="宋体" w:cs="仿宋"/>
                <w:bCs/>
                <w:color w:val="000000" w:themeColor="text1"/>
              </w:rPr>
              <w:t xml:space="preserve">分；生产设备基本齐全且与生产能力基本匹配、工艺较好的，得</w:t>
            </w:r>
            <w:r>
              <w:rPr>
                <w:rFonts w:hint="eastAsia" w:ascii="宋体" w:hAnsi="宋体" w:cs="仿宋"/>
                <w:bCs/>
                <w:color w:val="000000" w:themeColor="text1"/>
              </w:rPr>
              <w:t xml:space="preserve">5</w:t>
            </w:r>
            <w:r>
              <w:rPr>
                <w:rFonts w:hint="eastAsia" w:ascii="宋体" w:hAnsi="宋体" w:cs="仿宋"/>
                <w:bCs/>
                <w:color w:val="000000" w:themeColor="text1"/>
              </w:rPr>
              <w:t xml:space="preserve">分；生产设备较为简单、工艺一般的，得</w:t>
            </w:r>
            <w:r>
              <w:rPr>
                <w:rFonts w:hint="eastAsia" w:ascii="宋体" w:hAnsi="宋体" w:cs="仿宋"/>
                <w:bCs/>
                <w:color w:val="000000" w:themeColor="text1"/>
              </w:rPr>
              <w:t xml:space="preserve">2</w:t>
            </w:r>
            <w:r>
              <w:rPr>
                <w:rFonts w:hint="eastAsia" w:ascii="宋体" w:hAnsi="宋体" w:cs="仿宋"/>
                <w:bCs/>
                <w:color w:val="000000" w:themeColor="text1"/>
              </w:rPr>
              <w:t xml:space="preserve">分；未提供的不得分。</w:t>
            </w:r>
            <w:r>
              <w:rPr>
                <w:rFonts w:hint="eastAsia" w:ascii="宋体" w:hAnsi="宋体" w:cs="仿宋"/>
                <w:b/>
                <w:color w:val="000000" w:themeColor="text1"/>
              </w:rPr>
              <w:t xml:space="preserve">（提供主要设备清单、工艺流程图、照片、等相关证明材料扫描上传）</w:t>
            </w:r>
            <w:r/>
          </w:p>
        </w:tc>
        <w:tc>
          <w:tcPr>
            <w:tcBorders>
              <w:bottom w:val="single" w:color="auto" w:sz="4" w:space="0"/>
            </w:tcBorders>
            <w:tcW w:w="851"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8</w:t>
            </w:r>
            <w:r/>
          </w:p>
        </w:tc>
      </w:tr>
      <w:tr>
        <w:trPr>
          <w:cantSplit/>
          <w:jc w:val="center"/>
          <w:trHeight w:val="7"/>
        </w:trPr>
        <w:tc>
          <w:tcPr>
            <w:tcBorders>
              <w:right w:val="single" w:color="auto" w:sz="4" w:space="0"/>
            </w:tcBorders>
            <w:tcW w:w="1232" w:type="dxa"/>
            <w:vAlign w:val="center"/>
            <w:vMerge w:val="continue"/>
            <w:textDirection w:val="lrTb"/>
            <w:noWrap/>
          </w:tcPr>
          <w:p>
            <w:pPr>
              <w:pStyle w:val="960"/>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59"/>
              <w:ind w:left="-106" w:hanging="1"/>
              <w:jc w:val="center"/>
              <w:spacing w:line="300" w:lineRule="auto"/>
              <w:rPr>
                <w:rFonts w:hint="eastAsia" w:ascii="宋体" w:hAnsi="宋体" w:cs="仿宋"/>
                <w:color w:val="000000" w:themeColor="text1"/>
              </w:rPr>
            </w:pPr>
            <w:r>
              <w:rPr>
                <w:rFonts w:hint="eastAsia" w:ascii="宋体" w:hAnsi="宋体" w:cs="仿宋"/>
                <w:color w:val="000000" w:themeColor="text1"/>
                <w:szCs w:val="21"/>
              </w:rPr>
              <w:t xml:space="preserve">产品</w:t>
            </w:r>
            <w:r>
              <w:rPr>
                <w:rFonts w:hint="eastAsia" w:ascii="宋体" w:hAnsi="宋体" w:cs="仿宋"/>
                <w:bCs/>
                <w:color w:val="000000" w:themeColor="text1"/>
              </w:rPr>
              <w:t xml:space="preserve">包装标识、使用说明书</w:t>
            </w:r>
            <w:r>
              <w:rPr>
                <w:rFonts w:hint="eastAsia" w:ascii="宋体" w:hAnsi="宋体" w:cs="仿宋"/>
                <w:color w:val="000000" w:themeColor="text1"/>
                <w:szCs w:val="21"/>
              </w:rPr>
              <w:t xml:space="preserve">（</w:t>
            </w:r>
            <w:r>
              <w:rPr>
                <w:rFonts w:hint="eastAsia" w:ascii="宋体" w:hAnsi="宋体" w:cs="仿宋"/>
                <w:color w:val="000000" w:themeColor="text1"/>
                <w:szCs w:val="21"/>
              </w:rPr>
              <w:t xml:space="preserve">7</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59"/>
              <w:spacing w:line="300" w:lineRule="auto"/>
              <w:rPr>
                <w:rFonts w:hint="eastAsia" w:ascii="宋体" w:hAnsi="宋体" w:cs="仿宋"/>
                <w:color w:val="000000" w:themeColor="text1"/>
              </w:rPr>
            </w:pPr>
            <w:r/>
            <w:bookmarkStart w:id="75" w:name="OLE_LINK3"/>
            <w:r>
              <w:rPr>
                <w:rFonts w:hint="eastAsia" w:ascii="宋体" w:hAnsi="宋体" w:cs="仿宋"/>
                <w:bCs/>
                <w:color w:val="000000" w:themeColor="text1"/>
              </w:rPr>
              <w:t xml:space="preserve">使用说明书应包括亩用量、用法、使用条件。根据包装标识是否符合国家标准、包装性能，使用说明书完整及合理性方面进行评价。产品标签、标识完好、齐全、规范，使用说明书完整合理的得</w:t>
            </w:r>
            <w:r>
              <w:rPr>
                <w:rFonts w:hint="eastAsia" w:ascii="宋体" w:hAnsi="宋体" w:cs="仿宋"/>
                <w:bCs/>
                <w:color w:val="000000" w:themeColor="text1"/>
              </w:rPr>
              <w:t xml:space="preserve">7</w:t>
            </w:r>
            <w:r>
              <w:rPr>
                <w:rFonts w:hint="eastAsia" w:ascii="宋体" w:hAnsi="宋体" w:cs="仿宋"/>
                <w:bCs/>
                <w:color w:val="000000" w:themeColor="text1"/>
              </w:rPr>
              <w:t xml:space="preserve">分；产品标签、标识较完好、齐全、规范，使用说明书较完整合理的得</w:t>
            </w:r>
            <w:r>
              <w:rPr>
                <w:rFonts w:hint="eastAsia" w:ascii="宋体" w:hAnsi="宋体" w:cs="仿宋"/>
                <w:bCs/>
                <w:color w:val="000000" w:themeColor="text1"/>
              </w:rPr>
              <w:t xml:space="preserve">4</w:t>
            </w:r>
            <w:r>
              <w:rPr>
                <w:rFonts w:hint="eastAsia" w:ascii="宋体" w:hAnsi="宋体" w:cs="仿宋"/>
                <w:bCs/>
                <w:color w:val="000000" w:themeColor="text1"/>
              </w:rPr>
              <w:t xml:space="preserve">分；产品标签、标识、使用说明书有所缺失的得1分；未提供的不得分。</w:t>
            </w:r>
            <w:r>
              <w:rPr>
                <w:rFonts w:hint="eastAsia" w:ascii="宋体" w:hAnsi="宋体" w:cs="仿宋"/>
                <w:b/>
                <w:color w:val="000000" w:themeColor="text1"/>
              </w:rPr>
              <w:t xml:space="preserve">（提供包装标识、使用说明书扫描上传。）</w:t>
            </w:r>
            <w:bookmarkEnd w:id="75"/>
            <w:r/>
            <w:r/>
          </w:p>
        </w:tc>
        <w:tc>
          <w:tcPr>
            <w:tcBorders>
              <w:bottom w:val="single" w:color="auto" w:sz="4" w:space="0"/>
            </w:tcBorders>
            <w:tcW w:w="851" w:type="dxa"/>
            <w:vAlign w:val="center"/>
            <w:textDirection w:val="lrTb"/>
            <w:noWrap/>
          </w:tcPr>
          <w:p>
            <w:pPr>
              <w:pStyle w:val="959"/>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r>
        <w:trPr>
          <w:cantSplit/>
          <w:jc w:val="center"/>
          <w:trHeight w:val="7"/>
        </w:trPr>
        <w:tc>
          <w:tcPr>
            <w:tcBorders>
              <w:right w:val="single" w:color="auto" w:sz="4" w:space="0"/>
            </w:tcBorders>
            <w:tcW w:w="1232" w:type="dxa"/>
            <w:vAlign w:val="center"/>
            <w:vMerge w:val="continue"/>
            <w:textDirection w:val="lrTb"/>
            <w:noWrap/>
          </w:tcPr>
          <w:p>
            <w:pPr>
              <w:pStyle w:val="960"/>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供货进度计划（</w:t>
            </w:r>
            <w:r>
              <w:rPr>
                <w:rFonts w:hint="eastAsia" w:ascii="宋体" w:hAnsi="宋体" w:cs="仿宋"/>
                <w:color w:val="000000" w:themeColor="text1"/>
                <w:szCs w:val="21"/>
              </w:rPr>
              <w:t xml:space="preserve">7</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59"/>
              <w:spacing w:line="300" w:lineRule="auto"/>
              <w:rPr>
                <w:rFonts w:hint="eastAsia" w:ascii="宋体" w:hAnsi="宋体" w:cs="仿宋"/>
                <w:bCs/>
                <w:color w:val="000000" w:themeColor="text1"/>
              </w:rPr>
            </w:pPr>
            <w:r>
              <w:rPr>
                <w:rFonts w:hint="eastAsia" w:ascii="宋体" w:hAnsi="宋体" w:cs="仿宋"/>
                <w:color w:val="000000" w:themeColor="text1"/>
              </w:rPr>
              <w:t xml:space="preserve">供货进度计划方案科学、合理，描述详细且具有针对性的得 </w:t>
            </w:r>
            <w:r>
              <w:rPr>
                <w:rFonts w:hint="eastAsia" w:ascii="宋体" w:hAnsi="宋体" w:cs="仿宋"/>
                <w:color w:val="000000" w:themeColor="text1"/>
              </w:rPr>
              <w:t xml:space="preserve">7</w:t>
            </w:r>
            <w:r>
              <w:rPr>
                <w:rFonts w:hint="eastAsia" w:ascii="宋体" w:hAnsi="宋体" w:cs="仿宋"/>
                <w:color w:val="000000" w:themeColor="text1"/>
              </w:rPr>
              <w:t xml:space="preserve">分；供货进度计划方案较合理、描述较为详细，不存在实施难度的得 4分；供货进度计划方案基本合理、描述一般得 </w:t>
            </w:r>
            <w:r>
              <w:rPr>
                <w:rFonts w:hint="eastAsia" w:ascii="宋体" w:hAnsi="宋体" w:cs="仿宋"/>
                <w:color w:val="000000" w:themeColor="text1"/>
              </w:rPr>
              <w:t xml:space="preserve">1</w:t>
            </w:r>
            <w:r>
              <w:rPr>
                <w:rFonts w:hint="eastAsia" w:ascii="宋体" w:hAnsi="宋体" w:cs="仿宋"/>
                <w:color w:val="000000" w:themeColor="text1"/>
              </w:rPr>
              <w:t xml:space="preserve">分；</w:t>
            </w:r>
            <w:r>
              <w:rPr>
                <w:rFonts w:hint="eastAsia" w:ascii="宋体" w:hAnsi="宋体" w:cs="仿宋"/>
                <w:bCs/>
                <w:color w:val="000000" w:themeColor="text1"/>
              </w:rPr>
              <w:t xml:space="preserve">未提供的不得分。</w:t>
            </w:r>
            <w:r/>
          </w:p>
        </w:tc>
        <w:tc>
          <w:tcPr>
            <w:tcBorders>
              <w:bottom w:val="single" w:color="auto" w:sz="4" w:space="0"/>
            </w:tcBorders>
            <w:tcW w:w="851"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r>
        <w:trPr>
          <w:cantSplit/>
          <w:jc w:val="center"/>
          <w:trHeight w:val="7"/>
        </w:trPr>
        <w:tc>
          <w:tcPr>
            <w:tcBorders>
              <w:right w:val="single" w:color="auto" w:sz="4" w:space="0"/>
            </w:tcBorders>
            <w:tcW w:w="1232" w:type="dxa"/>
            <w:vAlign w:val="center"/>
            <w:vMerge w:val="continue"/>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售后服务方案（</w:t>
            </w:r>
            <w:r>
              <w:rPr>
                <w:rFonts w:hint="eastAsia" w:ascii="宋体" w:hAnsi="宋体" w:cs="仿宋"/>
                <w:color w:val="000000" w:themeColor="text1"/>
              </w:rPr>
              <w:t xml:space="preserve">7</w:t>
            </w:r>
            <w:r>
              <w:rPr>
                <w:rFonts w:hint="eastAsia" w:ascii="宋体" w:hAnsi="宋体" w:cs="仿宋"/>
                <w:color w:val="000000" w:themeColor="text1"/>
              </w:rPr>
              <w:t xml:space="preserve">分）</w:t>
            </w:r>
            <w:r/>
          </w:p>
        </w:tc>
        <w:tc>
          <w:tcPr>
            <w:tcBorders>
              <w:top w:val="single" w:color="auto" w:sz="4" w:space="0"/>
              <w:bottom w:val="single" w:color="auto" w:sz="4" w:space="0"/>
            </w:tcBorders>
            <w:tcW w:w="7126" w:type="dxa"/>
            <w:vAlign w:val="center"/>
            <w:textDirection w:val="lrTb"/>
            <w:noWrap/>
          </w:tcPr>
          <w:p>
            <w:pPr>
              <w:pStyle w:val="960"/>
              <w:spacing w:line="300" w:lineRule="auto"/>
              <w:rPr>
                <w:rFonts w:hint="eastAsia" w:ascii="宋体" w:hAnsi="宋体" w:cs="仿宋"/>
                <w:color w:val="000000" w:themeColor="text1"/>
                <w:szCs w:val="21"/>
              </w:rPr>
            </w:pPr>
            <w:r>
              <w:rPr>
                <w:rFonts w:hint="eastAsia" w:ascii="宋体" w:hAnsi="宋体" w:cs="仿宋"/>
                <w:color w:val="000000" w:themeColor="text1"/>
              </w:rPr>
              <w:t xml:space="preserve">有完善的售后服务保障体系，能提供快捷上门服务和应急处理能力得</w:t>
            </w:r>
            <w:r>
              <w:rPr>
                <w:rFonts w:hint="eastAsia" w:ascii="宋体" w:hAnsi="宋体" w:cs="仿宋"/>
                <w:color w:val="000000" w:themeColor="text1"/>
              </w:rPr>
              <w:t xml:space="preserve">7</w:t>
            </w:r>
            <w:r>
              <w:rPr>
                <w:rFonts w:hint="eastAsia" w:ascii="宋体" w:hAnsi="宋体" w:cs="仿宋"/>
                <w:color w:val="000000" w:themeColor="text1"/>
              </w:rPr>
              <w:t xml:space="preserve">分；有详细的售后方案，方案基本可行的得4分，售后方案一般的得</w:t>
            </w:r>
            <w:r>
              <w:rPr>
                <w:rFonts w:hint="eastAsia" w:ascii="宋体" w:hAnsi="宋体" w:cs="仿宋"/>
                <w:color w:val="000000" w:themeColor="text1"/>
              </w:rPr>
              <w:t xml:space="preserve">1</w:t>
            </w:r>
            <w:r>
              <w:rPr>
                <w:rFonts w:hint="eastAsia" w:ascii="宋体" w:hAnsi="宋体" w:cs="仿宋"/>
                <w:color w:val="000000" w:themeColor="text1"/>
              </w:rPr>
              <w:t xml:space="preserve">分，不提供不得分。</w:t>
            </w:r>
            <w:r/>
          </w:p>
        </w:tc>
        <w:tc>
          <w:tcPr>
            <w:tcBorders>
              <w:top w:val="single" w:color="auto" w:sz="4" w:space="0"/>
              <w:bottom w:val="single" w:color="auto" w:sz="4" w:space="0"/>
            </w:tcBorders>
            <w:tcW w:w="851" w:type="dxa"/>
            <w:vAlign w:val="center"/>
            <w:textDirection w:val="lrTb"/>
            <w:noWrap/>
          </w:tcPr>
          <w:p>
            <w:pPr>
              <w:pStyle w:val="960"/>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bl>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line="360" w:lineRule="auto"/>
        <w:rPr>
          <w:rFonts w:hint="eastAsia" w:ascii="宋体" w:hAnsi="宋体" w:cs="宋体"/>
          <w:b/>
          <w:bCs/>
          <w:szCs w:val="21"/>
        </w:rPr>
      </w:pPr>
      <w:r>
        <w:rPr>
          <w:rFonts w:hint="eastAsia" w:ascii="宋体" w:hAnsi="宋体" w:cs="宋体"/>
          <w:b/>
          <w:bCs/>
          <w:szCs w:val="21"/>
        </w:rPr>
        <w:t xml:space="preserve">1、评委应对以上各得分项独立评分，供应商最终得分为所有评委评分汇总的平均值。</w:t>
      </w:r>
      <w:r/>
    </w:p>
    <w:p>
      <w:pPr>
        <w:ind w:firstLine="422"/>
        <w:spacing w:line="360" w:lineRule="auto"/>
        <w:rPr>
          <w:rFonts w:hint="eastAsia" w:ascii="宋体" w:hAnsi="宋体" w:cs="宋体"/>
          <w:b/>
          <w:bCs/>
          <w:szCs w:val="21"/>
        </w:rPr>
      </w:pPr>
      <w:r>
        <w:rPr>
          <w:rFonts w:hint="eastAsia" w:ascii="宋体" w:hAnsi="宋体" w:cs="宋体"/>
          <w:b/>
          <w:bCs/>
          <w:szCs w:val="21"/>
        </w:rPr>
        <w:t xml:space="preserve">2、以上参与评分的相关证明材料均须提供原件扫描件，如</w:t>
      </w:r>
      <w:r>
        <w:rPr>
          <w:rFonts w:hint="eastAsia" w:ascii="宋体" w:hAnsi="宋体" w:cs="宋体"/>
          <w:b/>
          <w:bCs/>
          <w:szCs w:val="21"/>
        </w:rPr>
        <w:t xml:space="preserve">未按要求提供相关材料或扫描件不清晰导致无法识别的不计得分。</w:t>
      </w:r>
      <w:r/>
    </w:p>
    <w:p>
      <w:pPr>
        <w:pStyle w:val="742"/>
        <w:jc w:val="center"/>
        <w:rPr>
          <w:rFonts w:hint="eastAsia" w:ascii="宋体" w:hAnsi="宋体"/>
          <w:color w:val="000000" w:themeColor="text1"/>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rPr>
      </w:r>
      <w:r/>
    </w:p>
    <w:p>
      <w:pPr>
        <w:pStyle w:val="742"/>
        <w:jc w:val="center"/>
        <w:rPr>
          <w:rFonts w:hint="eastAsia" w:ascii="宋体" w:hAnsi="宋体"/>
          <w:color w:val="000000" w:themeColor="text1"/>
        </w:rPr>
      </w:pPr>
      <w:r/>
      <w:bookmarkStart w:id="76" w:name="_Toc190211629"/>
      <w:r>
        <w:rPr>
          <w:rFonts w:hint="eastAsia" w:ascii="宋体" w:hAnsi="宋体"/>
          <w:color w:val="000000" w:themeColor="text1"/>
        </w:rPr>
        <w:t xml:space="preserve">第六章 投标文件格式</w:t>
      </w:r>
      <w:bookmarkEnd w:id="76"/>
      <w:r>
        <w:rPr>
          <w:rFonts w:hint="eastAsia" w:ascii="宋体" w:hAnsi="宋体"/>
          <w:color w:val="000000" w:themeColor="text1"/>
        </w:rPr>
        <w:t xml:space="preserve"> </w:t>
      </w:r>
      <w:r/>
    </w:p>
    <w:p>
      <w:pPr>
        <w:rPr>
          <w:rFonts w:hint="eastAsia" w:ascii="宋体" w:hAnsi="宋体"/>
          <w:bCs/>
          <w:color w:val="000000" w:themeColor="text1"/>
          <w:sz w:val="44"/>
        </w:rPr>
      </w:pPr>
      <w:r>
        <w:rPr>
          <w:rFonts w:hint="eastAsia" w:ascii="宋体" w:hAnsi="宋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contextualSpacing/>
        <w:jc w:val="center"/>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2"/>
          <w:szCs w:val="32"/>
        </w:rPr>
      </w:pPr>
      <w:r>
        <w:rPr>
          <w:rFonts w:hint="eastAsia" w:ascii="宋体" w:hAnsi="宋体"/>
          <w:b/>
          <w:color w:val="000000" w:themeColor="text1"/>
          <w:sz w:val="32"/>
          <w:szCs w:val="32"/>
        </w:rPr>
      </w:r>
      <w:r/>
    </w:p>
    <w:p>
      <w:pPr>
        <w:pStyle w:val="743"/>
        <w:rPr>
          <w:rFonts w:hint="eastAsia" w:ascii="宋体" w:hAnsi="宋体" w:eastAsia="宋体"/>
          <w:b w:val="0"/>
          <w:color w:val="000000" w:themeColor="text1"/>
          <w:sz w:val="32"/>
          <w:szCs w:val="32"/>
        </w:rPr>
      </w:pPr>
      <w:r>
        <w:rPr>
          <w:rFonts w:hint="eastAsia" w:ascii="宋体" w:hAnsi="宋体" w:eastAsia="宋体"/>
          <w:color w:val="000000" w:themeColor="text1"/>
          <w:sz w:val="32"/>
          <w:szCs w:val="32"/>
        </w:rPr>
        <w:br w:type="page" w:clear="all"/>
      </w:r>
      <w:bookmarkStart w:id="77" w:name="_Toc190211630"/>
      <w:r>
        <w:rPr>
          <w:rFonts w:hint="eastAsia" w:ascii="宋体" w:hAnsi="宋体" w:eastAsia="宋体"/>
          <w:color w:val="000000" w:themeColor="text1"/>
          <w:sz w:val="32"/>
        </w:rPr>
        <w:t xml:space="preserve">一、资格审查响应对照表</w:t>
      </w:r>
      <w:bookmarkEnd w:id="77"/>
      <w:r/>
      <w:r/>
    </w:p>
    <w:tbl>
      <w:tblPr>
        <w:tblW w:w="84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403"/>
        <w:gridCol w:w="1418"/>
      </w:tblGrid>
      <w:tr>
        <w:trPr>
          <w:trHeight w:val="647"/>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6403"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41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467"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法人或者其他组织的营业执照等证明文件，自然人的身份证明（身份证为正、反面）</w:t>
            </w:r>
            <w:r/>
          </w:p>
        </w:tc>
        <w:tc>
          <w:tcPr>
            <w:tcW w:w="141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依法缴纳职工社会保障资金的证明材料（可提供“基本资格条件承诺函”）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投标人近三个月内任意一份依法纳税的缴款凭证（可提供“基本资格条件承诺函”）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上一年度的财务报告情况（可提供“基本资格条件承诺函”）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具备履行合同所必需的设备和专业技术能力的证明材料（可提供“基本资格条件承诺函”）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7</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36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c>
          <w:tcPr>
            <w:tcW w:w="6403" w:type="dxa"/>
            <w:vAlign w:val="center"/>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w:t>
            </w:r>
            <w:r/>
          </w:p>
        </w:tc>
        <w:tc>
          <w:tcPr>
            <w:tcW w:w="6403" w:type="dxa"/>
            <w:vAlign w:val="center"/>
            <w:textDirection w:val="lrTb"/>
            <w:noWrap w:val="false"/>
          </w:tcPr>
          <w:p>
            <w:pPr>
              <w:spacing w:line="360" w:lineRule="auto"/>
              <w:rPr>
                <w:rFonts w:hint="eastAsia" w:ascii="宋体" w:hAnsi="宋体"/>
                <w:iCs/>
                <w:color w:val="000000" w:themeColor="text1"/>
                <w:szCs w:val="2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2</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3</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ind w:firstLine="1476"/>
        <w:spacing w:before="156" w:after="156" w:line="360" w:lineRule="auto"/>
        <w:rPr>
          <w:rFonts w:hint="eastAsia" w:ascii="宋体" w:hAnsi="宋体"/>
          <w:b/>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rPr>
      </w:r>
      <w:r/>
    </w:p>
    <w:p>
      <w:pPr>
        <w:jc w:val="center"/>
        <w:spacing w:line="530" w:lineRule="exact"/>
        <w:tabs>
          <w:tab w:val="left" w:pos="6300" w:leader="none"/>
        </w:tabs>
        <w:rPr>
          <w:rFonts w:hint="eastAsia" w:ascii="宋体" w:hAnsi="宋体"/>
          <w:color w:val="000000" w:themeColor="text1"/>
          <w:sz w:val="44"/>
        </w:rPr>
      </w:pPr>
      <w:r>
        <w:rPr>
          <w:rFonts w:hint="eastAsia" w:ascii="宋体" w:hAnsi="宋体"/>
          <w:b/>
          <w:color w:val="000000" w:themeColor="text1"/>
        </w:rPr>
        <w:t xml:space="preserve">基本资格条件承诺函</w:t>
      </w:r>
      <w:r/>
    </w:p>
    <w:p>
      <w:pPr>
        <w:spacing w:line="530" w:lineRule="exact"/>
        <w:tabs>
          <w:tab w:val="left" w:pos="630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6300" w:leader="none"/>
        </w:tabs>
        <w:rPr>
          <w:rFonts w:hint="eastAsia"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360" w:lineRule="auto"/>
        <w:rPr>
          <w:rFonts w:hint="eastAsia" w:ascii="宋体" w:hAnsi="宋体"/>
          <w:color w:val="000000" w:themeColor="text1"/>
        </w:rPr>
      </w:pPr>
      <w:r>
        <w:rPr>
          <w:rFonts w:ascii="宋体" w:hAnsi="宋体"/>
          <w:color w:val="000000" w:themeColor="text1"/>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hint="eastAsia" w:ascii="宋体" w:hAnsi="宋体"/>
          <w:color w:val="000000" w:themeColor="text1"/>
        </w:rPr>
      </w:pPr>
      <w:r>
        <w:rPr>
          <w:rFonts w:ascii="宋体" w:hAnsi="宋体"/>
          <w:color w:val="000000" w:themeColor="text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hint="eastAsia" w:ascii="宋体" w:hAnsi="宋体"/>
          <w:color w:val="000000" w:themeColor="text1"/>
        </w:rPr>
      </w:pPr>
      <w:r>
        <w:rPr>
          <w:rFonts w:ascii="宋体" w:hAnsi="宋体"/>
          <w:color w:val="000000" w:themeColor="text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hint="eastAsia" w:ascii="宋体" w:hAnsi="宋体"/>
          <w:color w:val="000000" w:themeColor="text1"/>
        </w:rPr>
      </w:pPr>
      <w:r>
        <w:rPr>
          <w:rFonts w:ascii="宋体" w:hAnsi="宋体"/>
          <w:color w:val="000000" w:themeColor="text1"/>
        </w:rPr>
        <w:t xml:space="preserve">我方对以上承诺负全部法律责任。</w:t>
      </w:r>
      <w:r/>
    </w:p>
    <w:p>
      <w:pPr>
        <w:ind w:firstLine="420"/>
        <w:spacing w:line="360" w:lineRule="auto"/>
        <w:rPr>
          <w:rFonts w:hint="eastAsia" w:ascii="宋体" w:hAnsi="宋体"/>
          <w:color w:val="000000" w:themeColor="text1"/>
        </w:rPr>
      </w:pPr>
      <w:r>
        <w:rPr>
          <w:rFonts w:ascii="宋体" w:hAnsi="宋体"/>
          <w:color w:val="000000" w:themeColor="text1"/>
        </w:rPr>
        <w:t xml:space="preserve">特此承诺。</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法定代表人（签章）：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供应商名称（签章）：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w:t>
      </w:r>
      <w:r>
        <w:rPr>
          <w:rFonts w:ascii="宋体" w:hAnsi="宋体"/>
          <w:color w:val="000000" w:themeColor="text1"/>
        </w:rPr>
        <w:t xml:space="preserve">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500" w:lineRule="exact"/>
        <w:rPr>
          <w:rFonts w:hint="eastAsia"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hint="eastAsia" w:ascii="宋体" w:hAnsi="宋体"/>
          <w:color w:val="000000" w:themeColor="text1"/>
          <w:szCs w:val="32"/>
        </w:rPr>
      </w:pPr>
      <w:r>
        <w:rPr>
          <w:rFonts w:hint="eastAsia" w:ascii="宋体" w:hAnsi="宋体"/>
          <w:color w:val="000000" w:themeColor="text1"/>
          <w:szCs w:val="32"/>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jc w:val="center"/>
        <w:spacing w:line="50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投标函格式</w:t>
      </w:r>
      <w:r/>
    </w:p>
    <w:p>
      <w:pPr>
        <w:pStyle w:val="944"/>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rPr>
        <w:t xml:space="preserve">扬州市科达工程咨询有限公司</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根据贵方的（）号招标文件，正式授权下述签字人_________________(姓名)代表我方______________（投标人的名称），全权处理本次项目投标的有关事宜。</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据此函，__________签字人（姓名）兹宣布同意如下：</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44"/>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945"/>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（被授权人的姓名）为我方就（项目编号）号（项目名称）项目采购活动的合法代理人，以本公司名义全权处理一切与该项目采购有关的事务。</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4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4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4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4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单位地址：</w:t>
      </w:r>
      <w:r>
        <w:rPr>
          <w:rFonts w:ascii="宋体" w:hAnsi="宋体"/>
          <w:color w:val="000000" w:themeColor="text1"/>
          <w:sz w:val="21"/>
          <w:szCs w:val="21"/>
          <w:u w:val="single"/>
        </w:rPr>
        <w:t xml:space="preserve">                                         </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日期：</w:t>
      </w:r>
      <w:r>
        <w:rPr>
          <w:rFonts w:ascii="宋体" w:hAnsi="宋体"/>
          <w:color w:val="000000" w:themeColor="text1"/>
          <w:sz w:val="21"/>
          <w:szCs w:val="21"/>
          <w:u w:val="single"/>
        </w:rPr>
        <w:t xml:space="preserve">                                         </w:t>
      </w:r>
      <w:r>
        <w:rPr>
          <w:rFonts w:ascii="宋体" w:hAnsi="宋体"/>
          <w:color w:val="000000" w:themeColor="text1"/>
          <w:sz w:val="21"/>
          <w:szCs w:val="21"/>
        </w:rPr>
        <w:t xml:space="preserve"> </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jc w:val="left"/>
        <w:spacing w:line="460" w:lineRule="exact"/>
        <w:rPr>
          <w:rFonts w:hint="eastAsia" w:ascii="宋体" w:hAnsi="宋体"/>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rPr>
        <w:t xml:space="preserve">被授权人身份证复印件</w:t>
      </w:r>
      <w:r/>
    </w:p>
    <w:p>
      <w:pPr>
        <w:pStyle w:val="743"/>
        <w:rPr>
          <w:rFonts w:hint="eastAsia" w:ascii="宋体" w:hAnsi="宋体" w:eastAsia="宋体"/>
          <w:color w:val="000000" w:themeColor="text1"/>
          <w:sz w:val="32"/>
        </w:rPr>
      </w:pPr>
      <w:r/>
      <w:bookmarkStart w:id="78" w:name="_Toc190211632"/>
      <w:r>
        <w:rPr>
          <w:rFonts w:hint="eastAsia" w:ascii="宋体" w:hAnsi="宋体" w:eastAsia="宋体"/>
          <w:color w:val="000000" w:themeColor="text1"/>
          <w:sz w:val="32"/>
        </w:rPr>
        <w:t xml:space="preserve">二、符合性审查响应对照表</w:t>
      </w:r>
      <w:bookmarkEnd w:id="78"/>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pStyle w:val="743"/>
        <w:rPr>
          <w:rFonts w:hint="eastAsia" w:ascii="宋体" w:hAnsi="宋体" w:eastAsia="宋体"/>
          <w:color w:val="000000" w:themeColor="text1"/>
          <w:sz w:val="32"/>
        </w:rPr>
      </w:pPr>
      <w:r/>
      <w:bookmarkStart w:id="79" w:name="_Toc190211633"/>
      <w:r>
        <w:rPr>
          <w:rFonts w:hint="eastAsia" w:ascii="宋体" w:hAnsi="宋体" w:eastAsia="宋体"/>
          <w:color w:val="000000" w:themeColor="text1"/>
          <w:sz w:val="32"/>
        </w:rPr>
        <w:t xml:space="preserve">三、非实质性响应对照表</w:t>
      </w:r>
      <w:bookmarkEnd w:id="79"/>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43"/>
        <w:spacing w:before="300" w:after="300" w:line="360" w:lineRule="auto"/>
        <w:widowControl/>
        <w:rPr>
          <w:rFonts w:hint="eastAsia" w:ascii="宋体" w:hAnsi="宋体" w:eastAsia="宋体"/>
          <w:b w:val="0"/>
          <w:bCs w:val="0"/>
          <w:color w:val="000000" w:themeColor="text1"/>
        </w:rPr>
      </w:pPr>
      <w:r>
        <w:rPr>
          <w:rFonts w:ascii="宋体" w:hAnsi="宋体" w:eastAsia="宋体"/>
          <w:color w:val="000000" w:themeColor="text1"/>
        </w:rPr>
        <w:br w:type="page" w:clear="all"/>
      </w:r>
      <w:bookmarkStart w:id="80" w:name="_Toc190211634"/>
      <w:r>
        <w:rPr>
          <w:rFonts w:hint="eastAsia" w:ascii="宋体" w:hAnsi="宋体" w:eastAsia="宋体" w:cs="微软雅黑"/>
          <w:bCs w:val="0"/>
          <w:color w:val="000000" w:themeColor="text1"/>
          <w:sz w:val="21"/>
          <w:szCs w:val="21"/>
        </w:rPr>
        <w:t xml:space="preserve">中小企业声明函</w:t>
      </w:r>
      <w:r>
        <w:rPr>
          <w:rFonts w:hint="eastAsia" w:ascii="宋体" w:hAnsi="宋体" w:eastAsia="宋体" w:cs="微软雅黑"/>
          <w:bCs w:val="0"/>
          <w:color w:val="000000" w:themeColor="text1"/>
          <w:sz w:val="21"/>
          <w:szCs w:val="21"/>
        </w:rPr>
        <w:t xml:space="preserve">（货物）</w:t>
      </w:r>
      <w:bookmarkEnd w:id="80"/>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w:t>
      </w:r>
      <w:r>
        <w:rPr>
          <w:rFonts w:hint="eastAsia" w:ascii="宋体" w:hAnsi="宋体"/>
          <w:color w:val="000000" w:themeColor="text1"/>
        </w:rPr>
        <w:t xml:space="preserve">提供的货物</w:t>
      </w:r>
      <w:r>
        <w:rPr>
          <w:rFonts w:hint="eastAsia" w:ascii="宋体" w:hAnsi="宋体"/>
          <w:color w:val="000000" w:themeColor="text1"/>
        </w:rPr>
        <w:t xml:space="preserve">全部为符合政策要求的中小企业</w:t>
      </w:r>
      <w:r>
        <w:rPr>
          <w:rFonts w:hint="eastAsia" w:ascii="宋体" w:hAnsi="宋体"/>
          <w:color w:val="000000" w:themeColor="text1"/>
        </w:rPr>
        <w:t xml:space="preserve">制造</w:t>
      </w:r>
      <w:r>
        <w:rPr>
          <w:rFonts w:hint="eastAsia" w:ascii="宋体" w:hAnsi="宋体"/>
          <w:color w:val="000000" w:themeColor="text1"/>
        </w:rPr>
        <w:t xml:space="preserve">。相关企业（含联合体中的中小企业、签订分包意向协议的中小企业）的具体情况如下：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 ，属于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日 期：</w:t>
      </w:r>
      <w:r/>
    </w:p>
    <w:p>
      <w:pPr>
        <w:pStyle w:val="743"/>
        <w:spacing w:before="300" w:after="300" w:line="360" w:lineRule="auto"/>
        <w:widowControl/>
        <w:rPr>
          <w:rFonts w:hint="eastAsia" w:ascii="宋体" w:hAnsi="宋体" w:eastAsia="宋体"/>
          <w:color w:val="000000" w:themeColor="text1"/>
          <w:sz w:val="21"/>
          <w:szCs w:val="21"/>
        </w:rPr>
      </w:pPr>
      <w:r/>
      <w:bookmarkStart w:id="81" w:name="_Toc190211635"/>
      <w:r>
        <w:rPr>
          <w:rFonts w:hint="eastAsia" w:ascii="宋体" w:hAnsi="宋体" w:eastAsia="宋体" w:cs="微软雅黑"/>
          <w:bCs w:val="0"/>
          <w:color w:val="000000" w:themeColor="text1"/>
          <w:sz w:val="21"/>
          <w:szCs w:val="21"/>
        </w:rPr>
        <w:t xml:space="preserve">中小微企业划型标准</w:t>
      </w:r>
      <w:bookmarkEnd w:id="81"/>
      <w:r>
        <w:rPr>
          <w:rFonts w:hint="eastAsia" w:ascii="宋体" w:hAnsi="宋体" w:eastAsia="宋体" w:cs="微软雅黑"/>
          <w:bCs w:val="0"/>
          <w:color w:val="000000" w:themeColor="text1"/>
          <w:sz w:val="21"/>
          <w:szCs w:val="21"/>
        </w:rPr>
        <w:t xml:space="preserve"> </w:t>
      </w:r>
      <w:r/>
    </w:p>
    <w:p>
      <w:pPr>
        <w:pStyle w:val="780"/>
        <w:ind w:firstLine="420"/>
        <w:spacing w:before="300" w:after="452" w:line="360" w:lineRule="auto"/>
        <w:widowControl/>
        <w:rPr>
          <w:rFonts w:hint="eastAsia" w:ascii="宋体" w:hAnsi="宋体"/>
          <w:color w:val="000000" w:themeColor="text1"/>
          <w:sz w:val="21"/>
          <w:szCs w:val="21"/>
        </w:rPr>
      </w:pPr>
      <w:r>
        <w:rPr>
          <w:rFonts w:hint="eastAsia" w:ascii="宋体" w:hAnsi="宋体" w:cs="仿宋"/>
          <w:color w:val="000000" w:themeColor="text1"/>
          <w:sz w:val="21"/>
          <w:szCs w:val="21"/>
        </w:rPr>
        <w:t xml:space="preserve">    </w:t>
      </w:r>
      <w:r>
        <w:rPr>
          <w:rStyle w:val="783"/>
          <w:rFonts w:hint="eastAsia" w:ascii="宋体" w:hAnsi="宋体" w:cs="仿宋"/>
          <w:color w:val="000000" w:themeColor="text1"/>
          <w:sz w:val="21"/>
          <w:szCs w:val="21"/>
        </w:rPr>
        <w:t xml:space="preserve">中小微企业划型标准如下：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80"/>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ind w:firstLine="42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w:t>
            </w:r>
            <w:r>
              <w:rPr>
                <w:rStyle w:val="783"/>
                <w:rFonts w:hint="eastAsia" w:ascii="宋体" w:hAnsi="宋体" w:cs="仿宋"/>
                <w:color w:val="000000" w:themeColor="text1"/>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bl>
    <w:p>
      <w:pPr>
        <w:pStyle w:val="780"/>
        <w:ind w:firstLine="810"/>
        <w:spacing w:before="300" w:after="452" w:line="360" w:lineRule="auto"/>
        <w:widowControl/>
        <w:rPr>
          <w:rStyle w:val="783"/>
          <w:rFonts w:hint="eastAsia" w:ascii="宋体" w:hAnsi="宋体" w:cs="仿宋"/>
          <w:color w:val="000000" w:themeColor="text1"/>
          <w:sz w:val="21"/>
          <w:szCs w:val="21"/>
        </w:rPr>
      </w:pPr>
      <w:r>
        <w:rPr>
          <w:rStyle w:val="783"/>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44"/>
        <w:rPr>
          <w:rStyle w:val="783"/>
          <w:rFonts w:hint="eastAsia" w:ascii="宋体" w:hAnsi="宋体" w:cs="仿宋"/>
          <w:color w:val="000000" w:themeColor="text1"/>
          <w:sz w:val="21"/>
          <w:szCs w:val="21"/>
        </w:rPr>
      </w:pPr>
      <w:r>
        <w:rPr>
          <w:rStyle w:val="783"/>
          <w:rFonts w:ascii="宋体" w:hAnsi="宋体" w:cs="仿宋"/>
          <w:color w:val="000000" w:themeColor="text1"/>
          <w:sz w:val="21"/>
          <w:szCs w:val="21"/>
        </w:rPr>
        <w:br w:type="page" w:clear="all"/>
      </w:r>
      <w:r/>
    </w:p>
    <w:p>
      <w:pPr>
        <w:jc w:val="center"/>
        <w:rPr>
          <w:rFonts w:hint="eastAsia" w:ascii="宋体" w:hAnsi="宋体"/>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hint="eastAsia" w:ascii="宋体" w:hAnsi="宋体"/>
          <w:color w:val="000000" w:themeColor="text1"/>
          <w:spacing w:val="6"/>
          <w:sz w:val="30"/>
          <w:szCs w:val="30"/>
        </w:rPr>
      </w:pPr>
      <w:r>
        <w:rPr>
          <w:rFonts w:hint="eastAsia" w:ascii="宋体" w:hAnsi="宋体"/>
          <w:color w:val="000000" w:themeColor="text1"/>
          <w:spacing w:val="6"/>
          <w:sz w:val="30"/>
          <w:szCs w:val="30"/>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center"/>
        <w:spacing w:line="360" w:lineRule="auto"/>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olor w:val="000000" w:themeColor="text1"/>
          <w:sz w:val="32"/>
          <w:szCs w:val="32"/>
        </w:rPr>
      </w:pPr>
      <w:r>
        <w:rPr>
          <w:rFonts w:hint="eastAsia" w:ascii="宋体" w:hAnsi="宋体"/>
          <w:color w:val="000000" w:themeColor="text1"/>
          <w:sz w:val="32"/>
          <w:szCs w:val="32"/>
        </w:rPr>
      </w:r>
      <w:r/>
    </w:p>
    <w:p>
      <w:pPr>
        <w:pStyle w:val="743"/>
        <w:ind w:firstLine="3213"/>
        <w:jc w:val="both"/>
        <w:spacing w:line="360" w:lineRule="auto"/>
        <w:rPr>
          <w:rFonts w:hint="eastAsia" w:ascii="宋体" w:hAnsi="宋体" w:eastAsia="宋体" w:cs="宋体"/>
          <w:color w:val="000000" w:themeColor="text1"/>
          <w:sz w:val="24"/>
          <w:szCs w:val="20"/>
        </w:rPr>
      </w:pPr>
      <w:r/>
      <w:bookmarkStart w:id="82" w:name="_Toc190211636"/>
      <w:r>
        <w:rPr>
          <w:rFonts w:hint="eastAsia" w:ascii="宋体" w:hAnsi="宋体" w:eastAsia="宋体" w:cs="宋体"/>
          <w:bCs w:val="0"/>
          <w:color w:val="000000" w:themeColor="text1"/>
          <w:sz w:val="32"/>
          <w:szCs w:val="32"/>
        </w:rPr>
        <w:t xml:space="preserve">四、</w:t>
      </w:r>
      <w:r>
        <w:rPr>
          <w:rFonts w:hint="eastAsia" w:ascii="宋体" w:hAnsi="宋体" w:eastAsia="宋体" w:cs="宋体"/>
          <w:color w:val="000000" w:themeColor="text1"/>
          <w:sz w:val="32"/>
          <w:szCs w:val="32"/>
        </w:rPr>
        <w:t xml:space="preserve">开标一览表</w:t>
      </w:r>
      <w:bookmarkEnd w:id="82"/>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10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36"/>
        <w:gridCol w:w="7823"/>
      </w:tblGrid>
      <w:tr>
        <w:trPr>
          <w:cantSplit/>
          <w:jc w:val="center"/>
          <w:trHeight w:val="860"/>
        </w:trPr>
        <w:tc>
          <w:tcPr>
            <w:tcW w:w="2836" w:type="dxa"/>
            <w:vAlign w:val="center"/>
            <w:textDirection w:val="lrTb"/>
            <w:noWrap w:val="false"/>
          </w:tcPr>
          <w:p>
            <w:pPr>
              <w:pStyle w:val="758"/>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W w:w="7823"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                      </w:t>
            </w:r>
            <w:r/>
          </w:p>
        </w:tc>
      </w:tr>
      <w:tr>
        <w:trPr>
          <w:cantSplit/>
          <w:jc w:val="center"/>
          <w:trHeight w:val="1315"/>
        </w:trPr>
        <w:tc>
          <w:tcPr>
            <w:tcW w:w="2836" w:type="dxa"/>
            <w:vAlign w:val="center"/>
            <w:textDirection w:val="lrTb"/>
            <w:noWrap w:val="false"/>
          </w:tcPr>
          <w:p>
            <w:pPr>
              <w:pStyle w:val="758"/>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投标单价</w:t>
            </w:r>
            <w:r/>
          </w:p>
        </w:tc>
        <w:tc>
          <w:tcPr>
            <w:tcW w:w="7823" w:type="dxa"/>
            <w:vAlign w:val="center"/>
            <w:textDirection w:val="lrTb"/>
            <w:noWrap w:val="false"/>
          </w:tcPr>
          <w:p>
            <w:pPr>
              <w:pStyle w:val="944"/>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（人民币：元/吨，产品单价）</w:t>
            </w:r>
            <w:r/>
          </w:p>
          <w:p>
            <w:pPr>
              <w:pStyle w:val="944"/>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（人民币：元/吨，折百单价）</w:t>
            </w:r>
            <w:r/>
          </w:p>
        </w:tc>
      </w:tr>
      <w:tr>
        <w:trPr>
          <w:cantSplit/>
          <w:jc w:val="center"/>
          <w:trHeight w:val="1311"/>
        </w:trPr>
        <w:tc>
          <w:tcPr>
            <w:tcW w:w="2836" w:type="dxa"/>
            <w:vAlign w:val="center"/>
            <w:textDirection w:val="lrTb"/>
            <w:noWrap w:val="false"/>
          </w:tcPr>
          <w:p>
            <w:pPr>
              <w:pStyle w:val="758"/>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折百报价计算过程</w:t>
            </w:r>
            <w:r/>
          </w:p>
        </w:tc>
        <w:tc>
          <w:tcPr>
            <w:tcW w:w="7823" w:type="dxa"/>
            <w:vAlign w:val="center"/>
            <w:textDirection w:val="lrTb"/>
            <w:noWrap w:val="false"/>
          </w:tcPr>
          <w:p>
            <w:pPr>
              <w:pStyle w:val="944"/>
              <w:ind w:firstLine="0"/>
              <w:spacing w:before="0" w:after="0" w:line="500" w:lineRule="exact"/>
              <w:rPr>
                <w:rFonts w:hint="eastAsia" w:ascii="宋体" w:hAnsi="宋体" w:cs="宋体"/>
                <w:b/>
                <w:bCs/>
                <w:color w:val="000000" w:themeColor="text1"/>
                <w:sz w:val="21"/>
                <w:szCs w:val="21"/>
                <w:u w:val="single"/>
              </w:rPr>
            </w:pPr>
            <w:r>
              <w:rPr>
                <w:rFonts w:hint="eastAsia" w:ascii="宋体" w:hAnsi="宋体" w:cs="宋体"/>
                <w:b/>
                <w:bCs/>
                <w:color w:val="000000" w:themeColor="text1"/>
                <w:sz w:val="21"/>
                <w:szCs w:val="21"/>
                <w:u w:val="single"/>
              </w:rPr>
              <w:t xml:space="preserve">                                                             </w:t>
            </w:r>
            <w:r/>
          </w:p>
        </w:tc>
      </w:tr>
      <w:tr>
        <w:trPr>
          <w:cantSplit/>
          <w:jc w:val="center"/>
          <w:trHeight w:val="1697"/>
        </w:trPr>
        <w:tc>
          <w:tcPr>
            <w:tcW w:w="2836" w:type="dxa"/>
            <w:vAlign w:val="center"/>
            <w:textDirection w:val="lrTb"/>
            <w:noWrap w:val="false"/>
          </w:tcPr>
          <w:p>
            <w:pPr>
              <w:pStyle w:val="758"/>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w:t>
            </w:r>
            <w:r/>
          </w:p>
        </w:tc>
        <w:tc>
          <w:tcPr>
            <w:tcW w:w="7823" w:type="dxa"/>
            <w:vAlign w:val="center"/>
            <w:textDirection w:val="lrTb"/>
            <w:noWrap w:val="false"/>
          </w:tcPr>
          <w:p>
            <w:pPr>
              <w:pStyle w:val="944"/>
              <w:ind w:firstLine="0"/>
              <w:spacing w:before="0" w:after="0"/>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为避免评标产生歧义，电子投标文件中固定格式的开标一览表一律按产品单价填报，并且供应商应当按本表格格式将产品单价和折百单价全部填报另行上传至电子投标文件中</w:t>
            </w:r>
            <w:r>
              <w:rPr>
                <w:rFonts w:hint="eastAsia" w:ascii="宋体" w:hAnsi="宋体" w:cs="宋体"/>
                <w:b/>
                <w:bCs/>
                <w:color w:val="000000" w:themeColor="text1"/>
                <w:sz w:val="21"/>
                <w:szCs w:val="21"/>
              </w:rPr>
              <w:t xml:space="preserve">“综合评审评分项-投标</w:t>
            </w:r>
            <w:r>
              <w:rPr>
                <w:rFonts w:hint="eastAsia" w:ascii="宋体" w:hAnsi="宋体" w:cs="宋体"/>
                <w:b/>
                <w:bCs/>
                <w:color w:val="000000" w:themeColor="text1"/>
                <w:sz w:val="21"/>
                <w:szCs w:val="21"/>
              </w:rPr>
              <w:t xml:space="preserve">价格</w:t>
            </w:r>
            <w:r>
              <w:rPr>
                <w:rFonts w:hint="eastAsia" w:ascii="宋体" w:hAnsi="宋体" w:cs="宋体"/>
                <w:b/>
                <w:bCs/>
                <w:color w:val="000000" w:themeColor="text1"/>
                <w:sz w:val="21"/>
                <w:szCs w:val="21"/>
              </w:rPr>
              <w:t xml:space="preserve">（30分）</w:t>
            </w:r>
            <w:r>
              <w:rPr>
                <w:rFonts w:hint="eastAsia" w:ascii="宋体" w:hAnsi="宋体" w:cs="宋体"/>
                <w:b/>
                <w:bCs/>
                <w:color w:val="000000" w:themeColor="text1"/>
                <w:sz w:val="21"/>
                <w:szCs w:val="21"/>
              </w:rPr>
              <w:t xml:space="preserve">”处。</w:t>
            </w:r>
            <w:r/>
          </w:p>
          <w:p>
            <w:pPr>
              <w:pStyle w:val="944"/>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2.折百价计算</w:t>
            </w:r>
            <w:r>
              <w:rPr>
                <w:rFonts w:hint="eastAsia" w:ascii="宋体" w:hAnsi="宋体" w:cs="宋体"/>
                <w:b/>
                <w:bCs/>
                <w:color w:val="000000" w:themeColor="text1"/>
                <w:sz w:val="21"/>
                <w:szCs w:val="21"/>
              </w:rPr>
              <w:t xml:space="preserve">方式</w:t>
            </w:r>
            <w:r/>
          </w:p>
          <w:p>
            <w:pPr>
              <w:pStyle w:val="944"/>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2.1本项目采用折百报价方式报价，不论供应商的投标产品是何种含量，均须额外折算成100%的纯药单价，并按照报价表格式要求分别填报投标产品单价（元/吨）及折百单价（元/吨），报价分计算按折百单价（元/吨）计算，具体换算公式如下（小数点保留二位）：折百单价（元/吨）=产品单价（元/吨）/产品总有效成分含量（按质量分数（%）计算）。</w:t>
            </w:r>
            <w:r/>
          </w:p>
          <w:p>
            <w:pPr>
              <w:pStyle w:val="944"/>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2.2举例说明：</w:t>
            </w:r>
            <w:r/>
          </w:p>
          <w:p>
            <w:pPr>
              <w:pStyle w:val="944"/>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如总有效成分含量为：30%的，质量分数（%）=30%，</w:t>
            </w:r>
            <w:r/>
          </w:p>
          <w:p>
            <w:pPr>
              <w:pStyle w:val="944"/>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折百单价（元/吨）=产品单价（元/吨）/30%;</w:t>
            </w:r>
            <w:r/>
          </w:p>
          <w:p>
            <w:pPr>
              <w:pStyle w:val="944"/>
              <w:ind w:firstLine="0"/>
              <w:spacing w:before="0" w:after="0"/>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如总有效成分为：200克/升的，应自行换算质量分数套入公式计算并提供测算依据原件扫描件（农药登记证信息有备注的按备注为准，无备注的按第三方检测机构出具的具有CMA认证标识的质量检测报告中质量分数基准值之合为准），如无测算依据导致评委无法复核计算的，报价分按0分处理，质量分数（%）换算公式：质量分数（%）=（有效成分含量：克 / 升 ÷ 制剂密度：克 / 升）× 100%。</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80"/>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bookmarkStart w:id="83" w:name="_Toc113352361"/>
      <w:r/>
      <w:bookmarkStart w:id="84" w:name="_Toc190211637"/>
      <w:r/>
      <w:r/>
    </w:p>
    <w:p>
      <w:pPr>
        <w:jc w:val="left"/>
        <w:widowControl/>
        <w:rPr>
          <w:rFonts w:hint="eastAsia" w:ascii="宋体" w:hAnsi="宋体" w:cs="Arial"/>
          <w:b/>
          <w:bCs/>
          <w:color w:val="000000" w:themeColor="text1"/>
          <w:sz w:val="32"/>
          <w:szCs w:val="44"/>
        </w:rPr>
      </w:pPr>
      <w:r>
        <w:rPr>
          <w:rFonts w:hint="eastAsia" w:ascii="宋体" w:hAnsi="宋体"/>
          <w:color w:val="000000" w:themeColor="text1"/>
          <w:sz w:val="32"/>
        </w:rPr>
        <w:br w:type="page" w:clear="all"/>
      </w:r>
      <w:r/>
    </w:p>
    <w:p>
      <w:pPr>
        <w:pStyle w:val="743"/>
        <w:rPr>
          <w:rFonts w:hint="eastAsia" w:ascii="宋体" w:hAnsi="宋体" w:eastAsia="宋体" w:cs="宋体"/>
          <w:bCs w:val="0"/>
          <w:color w:val="000000" w:themeColor="text1"/>
          <w:sz w:val="21"/>
          <w:szCs w:val="21"/>
        </w:rPr>
      </w:pPr>
      <w:r>
        <w:rPr>
          <w:rFonts w:hint="eastAsia" w:ascii="宋体" w:hAnsi="宋体" w:eastAsia="宋体"/>
          <w:color w:val="000000" w:themeColor="text1"/>
          <w:sz w:val="32"/>
        </w:rPr>
        <w:t xml:space="preserve">五、分项报价表</w:t>
      </w:r>
      <w:bookmarkEnd w:id="83"/>
      <w:r/>
      <w:bookmarkEnd w:id="84"/>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供应商全称（加盖公章）：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p>
    <w:tbl>
      <w:tblPr>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tblGrid>
      <w:tr>
        <w:trPr>
          <w:cantSplit/>
          <w:jc w:val="center"/>
          <w:trHeight w:val="635"/>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r>
      <w:tr>
        <w:trPr>
          <w:cantSplit/>
          <w:jc w:val="center"/>
          <w:trHeight w:val="369"/>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产品名称及规格、型号</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产地</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交付期</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单价</w:t>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left"/>
        <w:spacing w:line="540" w:lineRule="atLeast"/>
        <w:rPr>
          <w:rFonts w:hint="eastAsia" w:ascii="宋体" w:hAnsi="宋体"/>
          <w:color w:val="000000" w:themeColor="text1"/>
          <w:szCs w:val="21"/>
        </w:rPr>
      </w:pPr>
      <w:r>
        <w:rPr>
          <w:rFonts w:hint="eastAsia" w:ascii="宋体" w:hAnsi="宋体" w:cs="宋体"/>
          <w:b/>
          <w:color w:val="000000" w:themeColor="text1"/>
          <w:szCs w:val="21"/>
        </w:rPr>
        <w:t xml:space="preserve">备注：</w:t>
      </w:r>
      <w:r>
        <w:rPr>
          <w:rFonts w:hint="eastAsia" w:ascii="宋体" w:hAnsi="宋体" w:cs="宋体"/>
          <w:color w:val="000000" w:themeColor="text1"/>
          <w:szCs w:val="21"/>
        </w:rPr>
        <w:t xml:space="preserve">各供应商可以根据实际情况合理安排，对上述项目适当予以调整。  </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   </w:t>
      </w:r>
      <w:r>
        <w:rPr>
          <w:rFonts w:hint="eastAsia" w:ascii="宋体" w:hAnsi="宋体"/>
          <w:color w:val="000000" w:themeColor="text1"/>
          <w:szCs w:val="21"/>
        </w:rPr>
        <w:t xml:space="preserve">   年     月    日</w:t>
      </w:r>
      <w:r/>
    </w:p>
    <w:p>
      <w:pPr>
        <w:jc w:val="left"/>
        <w:widowControl/>
        <w:rPr>
          <w:rFonts w:hint="eastAsia" w:ascii="宋体" w:hAnsi="宋体" w:cs="Arial"/>
          <w:b/>
          <w:bCs/>
          <w:color w:val="000000" w:themeColor="text1"/>
        </w:rPr>
      </w:pPr>
      <w:r>
        <w:rPr>
          <w:rFonts w:ascii="宋体" w:hAnsi="宋体" w:cs="Arial"/>
          <w:b/>
          <w:bCs/>
          <w:color w:val="000000" w:themeColor="text1"/>
        </w:rPr>
        <w:br w:type="page" w:clear="all"/>
      </w:r>
      <w:r/>
    </w:p>
    <w:p>
      <w:pPr>
        <w:pStyle w:val="743"/>
        <w:rPr>
          <w:rFonts w:hint="eastAsia" w:ascii="宋体" w:hAnsi="宋体" w:eastAsia="宋体"/>
          <w:color w:val="000000" w:themeColor="text1"/>
          <w:sz w:val="32"/>
        </w:rPr>
      </w:pPr>
      <w:r/>
      <w:bookmarkStart w:id="85" w:name="_Toc190211638"/>
      <w:r>
        <w:rPr>
          <w:rFonts w:hint="eastAsia" w:ascii="宋体" w:hAnsi="宋体" w:eastAsia="宋体"/>
          <w:color w:val="000000" w:themeColor="text1"/>
          <w:sz w:val="32"/>
        </w:rPr>
        <w:t xml:space="preserve">六、技术参数响应及偏离表</w:t>
      </w:r>
      <w:bookmarkEnd w:id="85"/>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br w:type="page" w:clear="all"/>
      </w:r>
      <w:r/>
    </w:p>
    <w:p>
      <w:pPr>
        <w:pStyle w:val="743"/>
        <w:rPr>
          <w:rFonts w:hint="eastAsia" w:ascii="宋体" w:hAnsi="宋体" w:eastAsia="宋体" w:cs="Times New Roman"/>
          <w:bCs w:val="0"/>
          <w:color w:val="000000" w:themeColor="text1"/>
          <w:sz w:val="32"/>
          <w:szCs w:val="32"/>
        </w:rPr>
      </w:pPr>
      <w:r/>
      <w:bookmarkStart w:id="86" w:name="_Hlt26955054"/>
      <w:r/>
      <w:bookmarkStart w:id="87" w:name="_Toc113352363"/>
      <w:r/>
      <w:bookmarkStart w:id="88" w:name="_Toc190211639"/>
      <w:r/>
      <w:bookmarkEnd w:id="86"/>
      <w:r>
        <w:rPr>
          <w:rFonts w:hint="eastAsia" w:ascii="宋体" w:hAnsi="宋体" w:eastAsia="宋体" w:cs="Times New Roman"/>
          <w:bCs w:val="0"/>
          <w:color w:val="000000" w:themeColor="text1"/>
          <w:sz w:val="32"/>
          <w:szCs w:val="32"/>
        </w:rPr>
        <w:t xml:space="preserve">七、商务条款响应及偏离表</w:t>
      </w:r>
      <w:bookmarkEnd w:id="87"/>
      <w:r/>
      <w:bookmarkEnd w:id="88"/>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其他</w:t>
            </w: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bl>
    <w:p>
      <w:pPr>
        <w:spacing w:line="480" w:lineRule="auto"/>
        <w:rPr>
          <w:rFonts w:hint="eastAsia" w:ascii="宋体" w:hAnsi="宋体"/>
          <w:color w:val="000000" w:themeColor="text1"/>
          <w:sz w:val="30"/>
        </w:rPr>
      </w:pPr>
      <w:r>
        <w:rPr>
          <w:rFonts w:hint="eastAsia" w:ascii="宋体" w:hAnsi="宋体"/>
          <w:color w:val="000000" w:themeColor="text1"/>
          <w:sz w:val="30"/>
        </w:rPr>
      </w:r>
      <w:r/>
    </w:p>
    <w:p>
      <w:pPr>
        <w:pStyle w:val="754"/>
        <w:ind w:firstLine="480"/>
        <w:rPr>
          <w:rFonts w:hint="eastAsia" w:ascii="宋体" w:hAnsi="宋体"/>
          <w:color w:val="000000" w:themeColor="text1"/>
          <w:sz w:val="24"/>
        </w:rPr>
      </w:pPr>
      <w:r/>
      <w:bookmarkStart w:id="89" w:name="_Hlt26955066"/>
      <w:r/>
      <w:bookmarkStart w:id="90" w:name="_Hlt26671374"/>
      <w:r/>
      <w:bookmarkStart w:id="91" w:name="_Hlt26609389"/>
      <w:r/>
      <w:bookmarkStart w:id="92" w:name="_Toc462564146"/>
      <w:r/>
      <w:bookmarkEnd w:id="89"/>
      <w:r/>
      <w:bookmarkEnd w:id="90"/>
      <w:r/>
      <w:bookmarkEnd w:id="91"/>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t xml:space="preserve">.</w:t>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rPr>
      </w:pPr>
      <w:r/>
      <w:bookmarkStart w:id="93" w:name="_格式2__法定代表人授权书"/>
      <w:r/>
      <w:bookmarkEnd w:id="92"/>
      <w:r/>
      <w:bookmarkEnd w:id="93"/>
      <w:r/>
      <w:r/>
    </w:p>
    <w:p>
      <w:pPr>
        <w:jc w:val="left"/>
        <w:widowControl/>
        <w:rPr>
          <w:rFonts w:hint="eastAsia" w:ascii="宋体" w:hAnsi="宋体"/>
          <w:b/>
          <w:color w:val="000000" w:themeColor="text1"/>
        </w:rPr>
      </w:pPr>
      <w:r>
        <w:rPr>
          <w:rFonts w:hint="eastAsia" w:ascii="宋体" w:hAnsi="宋体"/>
          <w:b/>
          <w:color w:val="000000" w:themeColor="text1"/>
        </w:rPr>
        <w:br w:type="page" w:clear="all"/>
      </w:r>
      <w:r/>
    </w:p>
    <w:p>
      <w:pPr>
        <w:jc w:val="center"/>
        <w:spacing w:before="312" w:line="360" w:lineRule="auto"/>
        <w:rPr>
          <w:rFonts w:hint="eastAsia"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hint="eastAsia" w:ascii="宋体" w:hAnsi="宋体"/>
          <w:b/>
          <w:color w:val="000000" w:themeColor="text1"/>
        </w:rPr>
      </w:pPr>
      <w:r>
        <w:rPr>
          <w:rFonts w:hint="eastAsia" w:ascii="宋体" w:hAnsi="宋体"/>
          <w:color w:val="000000" w:themeColor="text1"/>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数量：</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hint="eastAsia" w:ascii="宋体" w:hAnsi="宋体" w:cs="宋体"/>
          <w:color w:val="000000" w:themeColor="text1"/>
          <w:sz w:val="24"/>
          <w:szCs w:val="24"/>
        </w:rPr>
      </w:pPr>
      <w:r>
        <w:rPr>
          <w:rFonts w:ascii="宋体" w:hAnsi="宋体" w:cs="宋体"/>
          <w:color w:val="000000" w:themeColor="text1"/>
          <w:sz w:val="24"/>
          <w:szCs w:val="24"/>
        </w:rPr>
        <w:br w:type="page" w:clear="all"/>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t xml:space="preserve">联合体协议（如有）</w:t>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1、我们自愿组成联合体，参加（代理机构）的采购编号为（项目编号）（项目全称）的政府采购活动。</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日期：</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Light">
    <w:panose1 w:val="020F030202020403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rFonts w:hint="eastAsia"/>
      </w:rPr>
      <w:t xml:space="preserve">JSZC-321012-YZKD-G2025-0033</w:t>
    </w:r>
    <w:r>
      <w:rPr>
        <w:rFonts w:hint="eastAsia"/>
      </w:rPr>
      <w:t xml:space="preserve">                                  </w:t>
    </w:r>
    <w:r>
      <w:rPr>
        <w:rFonts w:hint="eastAsia"/>
      </w:rPr>
      <w:t xml:space="preserve">扬州市科达工程咨询有限公司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t xml:space="preserve">JSZC-321012-YZKD-G2025-0033</w:t>
    </w:r>
    <w:r>
      <w:t xml:space="preserve"> </w:t>
    </w:r>
    <w:r>
      <w:rPr>
        <w:rFonts w:hint="eastAsia"/>
      </w:rPr>
      <w:t xml:space="preserve">                                 </w:t>
    </w:r>
    <w:r>
      <w:rPr>
        <w:rFonts w:hint="eastAsia"/>
      </w:rPr>
      <w:t xml:space="preserve">扬州市科达工程咨询有限公司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pPr>
    <w:r>
      <w:t xml:space="preserve">JSZC-321012-YZKD-G2025-0033</w:t>
    </w:r>
    <w:r>
      <w:t xml:space="preserve"> </w:t>
    </w:r>
    <w:r>
      <w:rPr>
        <w:rFonts w:hint="eastAsia"/>
      </w:rPr>
      <w:t xml:space="preserve">                                    </w:t>
    </w:r>
    <w:r>
      <w:rPr>
        <w:rFonts w:hint="eastAsia"/>
      </w:rPr>
      <w:t xml:space="preserve">扬州市科达工程咨询有限公司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81"/>
    <w:uiPriority w:val="10"/>
    <w:rPr>
      <w:sz w:val="48"/>
      <w:szCs w:val="48"/>
    </w:rPr>
  </w:style>
  <w:style w:type="character" w:styleId="714">
    <w:name w:val="Subtitle Char"/>
    <w:basedOn w:val="751"/>
    <w:link w:val="772"/>
    <w:uiPriority w:val="11"/>
    <w:rPr>
      <w:sz w:val="24"/>
      <w:szCs w:val="24"/>
    </w:rPr>
  </w:style>
  <w:style w:type="character" w:styleId="715">
    <w:name w:val="Quote Char"/>
    <w:link w:val="800"/>
    <w:uiPriority w:val="29"/>
    <w:rPr>
      <w:i/>
    </w:rPr>
  </w:style>
  <w:style w:type="character" w:styleId="716">
    <w:name w:val="Intense Quote Char"/>
    <w:link w:val="802"/>
    <w:uiPriority w:val="30"/>
    <w:rPr>
      <w:i/>
    </w:rPr>
  </w:style>
  <w:style w:type="character" w:styleId="717">
    <w:name w:val="Header Char"/>
    <w:basedOn w:val="751"/>
    <w:link w:val="769"/>
    <w:uiPriority w:val="99"/>
  </w:style>
  <w:style w:type="character" w:styleId="718">
    <w:name w:val="Caption Char"/>
    <w:basedOn w:val="756"/>
    <w:link w:val="768"/>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3"/>
    <w:uiPriority w:val="99"/>
    <w:rPr>
      <w:sz w:val="18"/>
    </w:rPr>
  </w:style>
  <w:style w:type="character" w:styleId="739">
    <w:name w:val="Endnote Text Char"/>
    <w:link w:val="766"/>
    <w:uiPriority w:val="99"/>
    <w:rPr>
      <w:sz w:val="20"/>
    </w:rPr>
  </w:style>
  <w:style w:type="paragraph" w:styleId="740">
    <w:name w:val="TOC Heading"/>
    <w:uiPriority w:val="39"/>
    <w:unhideWhenUsed/>
  </w:style>
  <w:style w:type="paragraph" w:styleId="741" w:default="1">
    <w:name w:val="Normal"/>
    <w:next w:val="744"/>
    <w:qFormat/>
    <w:pPr>
      <w:jc w:val="both"/>
      <w:widowControl w:val="off"/>
    </w:pPr>
    <w:rPr>
      <w:rFonts w:ascii="Calibri" w:hAnsi="Calibri"/>
      <w:sz w:val="21"/>
      <w:szCs w:val="22"/>
    </w:rPr>
  </w:style>
  <w:style w:type="paragraph" w:styleId="742">
    <w:name w:val="Heading 1"/>
    <w:basedOn w:val="741"/>
    <w:next w:val="741"/>
    <w:link w:val="788"/>
    <w:uiPriority w:val="9"/>
    <w:qFormat/>
    <w:pPr>
      <w:keepLines/>
      <w:keepNext/>
      <w:spacing w:before="340" w:after="330" w:line="578" w:lineRule="auto"/>
      <w:outlineLvl w:val="0"/>
    </w:pPr>
    <w:rPr>
      <w:b/>
      <w:bCs/>
      <w:sz w:val="44"/>
      <w:szCs w:val="44"/>
    </w:rPr>
  </w:style>
  <w:style w:type="paragraph" w:styleId="743">
    <w:name w:val="Heading 2"/>
    <w:basedOn w:val="741"/>
    <w:next w:val="754"/>
    <w:link w:val="789"/>
    <w:qFormat/>
    <w:pPr>
      <w:jc w:val="center"/>
      <w:keepLines/>
      <w:keepNext/>
      <w:spacing w:before="260" w:after="260" w:line="416" w:lineRule="auto"/>
      <w:outlineLvl w:val="1"/>
    </w:pPr>
    <w:rPr>
      <w:rFonts w:ascii="Arial" w:hAnsi="Arial" w:eastAsia="幼圆" w:cs="Arial"/>
      <w:b/>
      <w:bCs/>
      <w:sz w:val="44"/>
      <w:szCs w:val="44"/>
    </w:rPr>
  </w:style>
  <w:style w:type="paragraph" w:styleId="744">
    <w:name w:val="Heading 3"/>
    <w:basedOn w:val="741"/>
    <w:next w:val="741"/>
    <w:link w:val="790"/>
    <w:qFormat/>
    <w:pPr>
      <w:keepLines/>
      <w:keepNext/>
      <w:spacing w:before="260" w:after="260" w:line="416" w:lineRule="auto"/>
      <w:outlineLvl w:val="2"/>
    </w:pPr>
    <w:rPr>
      <w:b/>
      <w:bCs/>
      <w:sz w:val="32"/>
      <w:szCs w:val="32"/>
    </w:rPr>
  </w:style>
  <w:style w:type="paragraph" w:styleId="745">
    <w:name w:val="Heading 4"/>
    <w:basedOn w:val="741"/>
    <w:next w:val="741"/>
    <w:link w:val="79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2"/>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3"/>
    <w:uiPriority w:val="9"/>
    <w:unhideWhenUsed/>
    <w:qFormat/>
    <w:pPr>
      <w:keepLines/>
      <w:keepNext/>
      <w:spacing w:before="320" w:after="200"/>
      <w:outlineLvl w:val="5"/>
    </w:pPr>
    <w:rPr>
      <w:rFonts w:ascii="Arial" w:hAnsi="Arial" w:eastAsia="Arial" w:cs="Arial"/>
      <w:b/>
      <w:bCs/>
      <w:sz w:val="22"/>
    </w:rPr>
  </w:style>
  <w:style w:type="paragraph" w:styleId="748">
    <w:name w:val="Heading 7"/>
    <w:basedOn w:val="741"/>
    <w:next w:val="741"/>
    <w:link w:val="794"/>
    <w:uiPriority w:val="9"/>
    <w:unhideWhenUsed/>
    <w:qFormat/>
    <w:pPr>
      <w:keepLines/>
      <w:keepNext/>
      <w:spacing w:before="320" w:after="200"/>
      <w:outlineLvl w:val="6"/>
    </w:pPr>
    <w:rPr>
      <w:rFonts w:ascii="Arial" w:hAnsi="Arial" w:eastAsia="Arial" w:cs="Arial"/>
      <w:b/>
      <w:bCs/>
      <w:i/>
      <w:iCs/>
      <w:sz w:val="22"/>
    </w:rPr>
  </w:style>
  <w:style w:type="paragraph" w:styleId="749">
    <w:name w:val="Heading 8"/>
    <w:basedOn w:val="741"/>
    <w:next w:val="741"/>
    <w:link w:val="795"/>
    <w:uiPriority w:val="9"/>
    <w:unhideWhenUsed/>
    <w:qFormat/>
    <w:pPr>
      <w:keepLines/>
      <w:keepNext/>
      <w:spacing w:before="320" w:after="200"/>
      <w:outlineLvl w:val="7"/>
    </w:pPr>
    <w:rPr>
      <w:rFonts w:ascii="Arial" w:hAnsi="Arial" w:eastAsia="Arial" w:cs="Arial"/>
      <w:i/>
      <w:iCs/>
      <w:sz w:val="22"/>
    </w:rPr>
  </w:style>
  <w:style w:type="paragraph" w:styleId="750">
    <w:name w:val="Heading 9"/>
    <w:basedOn w:val="741"/>
    <w:next w:val="741"/>
    <w:link w:val="796"/>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1"/>
    <w:unhideWhenUsed/>
    <w:qFormat/>
    <w:pPr>
      <w:ind w:firstLine="420"/>
    </w:pPr>
  </w:style>
  <w:style w:type="paragraph" w:styleId="755">
    <w:name w:val="toc 7"/>
    <w:basedOn w:val="741"/>
    <w:next w:val="741"/>
    <w:uiPriority w:val="39"/>
    <w:unhideWhenUsed/>
    <w:qFormat/>
    <w:pPr>
      <w:ind w:left="1701"/>
      <w:spacing w:after="57"/>
    </w:pPr>
  </w:style>
  <w:style w:type="paragraph" w:styleId="756">
    <w:name w:val="Caption"/>
    <w:basedOn w:val="741"/>
    <w:next w:val="741"/>
    <w:uiPriority w:val="35"/>
    <w:semiHidden/>
    <w:unhideWhenUsed/>
    <w:qFormat/>
    <w:pPr>
      <w:spacing w:line="276" w:lineRule="auto"/>
    </w:pPr>
    <w:rPr>
      <w:b/>
      <w:bCs/>
      <w:color w:val="4f81bd"/>
      <w:sz w:val="18"/>
      <w:szCs w:val="18"/>
    </w:rPr>
  </w:style>
  <w:style w:type="paragraph" w:styleId="757">
    <w:name w:val="annotation text"/>
    <w:basedOn w:val="741"/>
    <w:qFormat/>
    <w:pPr>
      <w:jc w:val="left"/>
    </w:pPr>
  </w:style>
  <w:style w:type="paragraph" w:styleId="758">
    <w:name w:val="Body Text"/>
    <w:basedOn w:val="741"/>
    <w:next w:val="741"/>
    <w:link w:val="961"/>
    <w:qFormat/>
    <w:rPr>
      <w:rFonts w:ascii="楷体_GB2312" w:hAnsi="Arial" w:eastAsia="楷体_GB2312"/>
      <w:sz w:val="28"/>
      <w:szCs w:val="28"/>
    </w:rPr>
  </w:style>
  <w:style w:type="paragraph" w:styleId="759">
    <w:name w:val="Body Text Indent"/>
    <w:basedOn w:val="741"/>
    <w:next w:val="760"/>
    <w:link w:val="956"/>
    <w:uiPriority w:val="99"/>
    <w:unhideWhenUsed/>
    <w:qFormat/>
    <w:pPr>
      <w:ind w:firstLine="540"/>
      <w:spacing w:line="400" w:lineRule="exact"/>
    </w:pPr>
    <w:rPr>
      <w:sz w:val="24"/>
    </w:rPr>
  </w:style>
  <w:style w:type="paragraph" w:styleId="760">
    <w:name w:val="envelope return"/>
    <w:basedOn w:val="741"/>
    <w:uiPriority w:val="99"/>
    <w:unhideWhenUsed/>
    <w:qFormat/>
    <w:rPr>
      <w:rFonts w:ascii="Arial" w:hAnsi="Arial"/>
    </w:rPr>
  </w:style>
  <w:style w:type="paragraph" w:styleId="761">
    <w:name w:val="toc 5"/>
    <w:basedOn w:val="741"/>
    <w:next w:val="741"/>
    <w:uiPriority w:val="39"/>
    <w:unhideWhenUsed/>
    <w:pPr>
      <w:ind w:left="1134"/>
      <w:spacing w:after="57"/>
    </w:pPr>
  </w:style>
  <w:style w:type="paragraph" w:styleId="762">
    <w:name w:val="toc 3"/>
    <w:basedOn w:val="741"/>
    <w:next w:val="741"/>
    <w:uiPriority w:val="39"/>
    <w:unhideWhenUsed/>
    <w:pPr>
      <w:ind w:left="567"/>
      <w:spacing w:after="57"/>
    </w:pPr>
  </w:style>
  <w:style w:type="paragraph" w:styleId="763">
    <w:name w:val="Plain Text"/>
    <w:basedOn w:val="741"/>
    <w:link w:val="954"/>
    <w:uiPriority w:val="99"/>
    <w:qFormat/>
    <w:rPr>
      <w:rFonts w:ascii="宋体" w:hAnsi="Courier New"/>
      <w:sz w:val="20"/>
      <w:szCs w:val="21"/>
    </w:rPr>
  </w:style>
  <w:style w:type="paragraph" w:styleId="764">
    <w:name w:val="toc 8"/>
    <w:basedOn w:val="741"/>
    <w:next w:val="741"/>
    <w:uiPriority w:val="39"/>
    <w:unhideWhenUsed/>
    <w:pPr>
      <w:ind w:left="1984"/>
      <w:spacing w:after="57"/>
    </w:pPr>
  </w:style>
  <w:style w:type="paragraph" w:styleId="765">
    <w:name w:val="Body Text Indent 2"/>
    <w:basedOn w:val="741"/>
    <w:uiPriority w:val="99"/>
    <w:unhideWhenUsed/>
    <w:pPr>
      <w:ind w:left="420"/>
      <w:spacing w:after="120" w:line="480" w:lineRule="auto"/>
    </w:pPr>
  </w:style>
  <w:style w:type="paragraph" w:styleId="766">
    <w:name w:val="endnote text"/>
    <w:basedOn w:val="741"/>
    <w:link w:val="933"/>
    <w:uiPriority w:val="99"/>
    <w:semiHidden/>
    <w:unhideWhenUsed/>
    <w:rPr>
      <w:sz w:val="20"/>
    </w:rPr>
  </w:style>
  <w:style w:type="paragraph" w:styleId="767">
    <w:name w:val="Balloon Text"/>
    <w:basedOn w:val="741"/>
    <w:link w:val="935"/>
    <w:qFormat/>
    <w:rPr>
      <w:sz w:val="18"/>
      <w:szCs w:val="18"/>
    </w:rPr>
  </w:style>
  <w:style w:type="paragraph" w:styleId="768">
    <w:name w:val="Footer"/>
    <w:basedOn w:val="741"/>
    <w:link w:val="806"/>
    <w:uiPriority w:val="99"/>
    <w:unhideWhenUsed/>
    <w:qFormat/>
    <w:pPr>
      <w:jc w:val="left"/>
      <w:tabs>
        <w:tab w:val="center" w:pos="4153" w:leader="none"/>
        <w:tab w:val="right" w:pos="8306" w:leader="none"/>
      </w:tabs>
    </w:pPr>
    <w:rPr>
      <w:sz w:val="18"/>
      <w:szCs w:val="18"/>
    </w:rPr>
  </w:style>
  <w:style w:type="paragraph" w:styleId="769">
    <w:name w:val="Header"/>
    <w:basedOn w:val="741"/>
    <w:link w:val="8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41"/>
    <w:next w:val="741"/>
    <w:uiPriority w:val="39"/>
    <w:unhideWhenUsed/>
    <w:pPr>
      <w:spacing w:after="57"/>
    </w:pPr>
  </w:style>
  <w:style w:type="paragraph" w:styleId="771">
    <w:name w:val="toc 4"/>
    <w:basedOn w:val="741"/>
    <w:next w:val="741"/>
    <w:uiPriority w:val="39"/>
    <w:unhideWhenUsed/>
    <w:pPr>
      <w:ind w:left="850"/>
      <w:spacing w:after="57"/>
    </w:pPr>
  </w:style>
  <w:style w:type="paragraph" w:styleId="772">
    <w:name w:val="Subtitle"/>
    <w:basedOn w:val="741"/>
    <w:next w:val="741"/>
    <w:link w:val="799"/>
    <w:uiPriority w:val="11"/>
    <w:qFormat/>
    <w:pPr>
      <w:spacing w:before="200" w:after="200"/>
    </w:pPr>
    <w:rPr>
      <w:sz w:val="24"/>
      <w:szCs w:val="24"/>
    </w:rPr>
  </w:style>
  <w:style w:type="paragraph" w:styleId="773">
    <w:name w:val="footnote text"/>
    <w:basedOn w:val="741"/>
    <w:link w:val="932"/>
    <w:uiPriority w:val="99"/>
    <w:semiHidden/>
    <w:unhideWhenUsed/>
    <w:pPr>
      <w:spacing w:after="40"/>
    </w:pPr>
    <w:rPr>
      <w:sz w:val="18"/>
    </w:rPr>
  </w:style>
  <w:style w:type="paragraph" w:styleId="774">
    <w:name w:val="toc 6"/>
    <w:basedOn w:val="741"/>
    <w:next w:val="741"/>
    <w:uiPriority w:val="39"/>
    <w:unhideWhenUsed/>
    <w:pPr>
      <w:ind w:left="1417"/>
      <w:spacing w:after="57"/>
    </w:pPr>
  </w:style>
  <w:style w:type="paragraph" w:styleId="775">
    <w:name w:val="table of figures"/>
    <w:basedOn w:val="741"/>
    <w:next w:val="741"/>
    <w:uiPriority w:val="99"/>
    <w:unhideWhenUsed/>
  </w:style>
  <w:style w:type="paragraph" w:styleId="776">
    <w:name w:val="toc 2"/>
    <w:basedOn w:val="741"/>
    <w:next w:val="741"/>
    <w:uiPriority w:val="39"/>
    <w:unhideWhenUsed/>
    <w:pPr>
      <w:ind w:left="283"/>
      <w:spacing w:after="57"/>
    </w:pPr>
  </w:style>
  <w:style w:type="paragraph" w:styleId="777">
    <w:name w:val="toc 9"/>
    <w:basedOn w:val="741"/>
    <w:next w:val="741"/>
    <w:uiPriority w:val="39"/>
    <w:unhideWhenUsed/>
    <w:pPr>
      <w:ind w:left="2268"/>
      <w:spacing w:after="57"/>
    </w:pPr>
  </w:style>
  <w:style w:type="paragraph" w:styleId="778">
    <w:name w:val="Body Text 2"/>
    <w:basedOn w:val="741"/>
    <w:qFormat/>
    <w:pPr>
      <w:spacing w:after="120" w:line="480" w:lineRule="auto"/>
    </w:pPr>
  </w:style>
  <w:style w:type="paragraph" w:styleId="779">
    <w:name w:val="Message Header"/>
    <w:basedOn w:val="74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0">
    <w:name w:val="Normal (Web)"/>
    <w:basedOn w:val="741"/>
    <w:qFormat/>
    <w:rPr>
      <w:rFonts w:ascii="Times New Roman" w:hAnsi="Times New Roman"/>
      <w:sz w:val="24"/>
    </w:rPr>
  </w:style>
  <w:style w:type="paragraph" w:styleId="781">
    <w:name w:val="Title"/>
    <w:basedOn w:val="741"/>
    <w:next w:val="741"/>
    <w:link w:val="798"/>
    <w:uiPriority w:val="10"/>
    <w:qFormat/>
    <w:pPr>
      <w:contextualSpacing/>
      <w:spacing w:before="300" w:after="200"/>
    </w:pPr>
    <w:rPr>
      <w:sz w:val="48"/>
      <w:szCs w:val="48"/>
    </w:rPr>
  </w:style>
  <w:style w:type="table" w:styleId="782">
    <w:name w:val="Table Grid"/>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qFormat/>
    <w:rPr>
      <w:b/>
    </w:rPr>
  </w:style>
  <w:style w:type="character" w:styleId="784">
    <w:name w:val="endnote reference"/>
    <w:uiPriority w:val="99"/>
    <w:semiHidden/>
    <w:unhideWhenUsed/>
    <w:rPr>
      <w:vertAlign w:val="superscript"/>
    </w:rPr>
  </w:style>
  <w:style w:type="character" w:styleId="785">
    <w:name w:val="Hyperlink"/>
    <w:qFormat/>
    <w:rPr>
      <w:color w:val="0000ff"/>
      <w:u w:val="single"/>
    </w:rPr>
  </w:style>
  <w:style w:type="character" w:styleId="786">
    <w:name w:val="annotation reference"/>
    <w:qFormat/>
    <w:rPr>
      <w:sz w:val="21"/>
      <w:szCs w:val="21"/>
    </w:rPr>
  </w:style>
  <w:style w:type="character" w:styleId="787">
    <w:name w:val="footnote reference"/>
    <w:uiPriority w:val="99"/>
    <w:unhideWhenUsed/>
    <w:rPr>
      <w:vertAlign w:val="superscript"/>
    </w:rPr>
  </w:style>
  <w:style w:type="character" w:styleId="788" w:customStyle="1">
    <w:name w:val="标题 1 字符"/>
    <w:link w:val="742"/>
    <w:uiPriority w:val="9"/>
    <w:rPr>
      <w:rFonts w:ascii="Arial" w:hAnsi="Arial" w:eastAsia="Arial" w:cs="Arial"/>
      <w:sz w:val="40"/>
      <w:szCs w:val="40"/>
    </w:rPr>
  </w:style>
  <w:style w:type="character" w:styleId="789" w:customStyle="1">
    <w:name w:val="标题 2 字符"/>
    <w:link w:val="743"/>
    <w:uiPriority w:val="9"/>
    <w:rPr>
      <w:rFonts w:ascii="Arial" w:hAnsi="Arial" w:eastAsia="Arial" w:cs="Arial"/>
      <w:sz w:val="34"/>
    </w:rPr>
  </w:style>
  <w:style w:type="character" w:styleId="790" w:customStyle="1">
    <w:name w:val="标题 3 字符"/>
    <w:link w:val="744"/>
    <w:uiPriority w:val="9"/>
    <w:qFormat/>
    <w:rPr>
      <w:rFonts w:ascii="Arial" w:hAnsi="Arial" w:eastAsia="Arial" w:cs="Arial"/>
      <w:sz w:val="30"/>
      <w:szCs w:val="30"/>
    </w:rPr>
  </w:style>
  <w:style w:type="character" w:styleId="791" w:customStyle="1">
    <w:name w:val="标题 4 字符"/>
    <w:link w:val="745"/>
    <w:uiPriority w:val="9"/>
    <w:qFormat/>
    <w:rPr>
      <w:rFonts w:ascii="Arial" w:hAnsi="Arial" w:eastAsia="Arial" w:cs="Arial"/>
      <w:b/>
      <w:bCs/>
      <w:sz w:val="26"/>
      <w:szCs w:val="26"/>
    </w:rPr>
  </w:style>
  <w:style w:type="character" w:styleId="792" w:customStyle="1">
    <w:name w:val="标题 5 字符"/>
    <w:link w:val="746"/>
    <w:uiPriority w:val="9"/>
    <w:rPr>
      <w:rFonts w:ascii="Arial" w:hAnsi="Arial" w:eastAsia="Arial" w:cs="Arial"/>
      <w:b/>
      <w:bCs/>
      <w:sz w:val="24"/>
      <w:szCs w:val="24"/>
    </w:rPr>
  </w:style>
  <w:style w:type="character" w:styleId="793" w:customStyle="1">
    <w:name w:val="标题 6 字符"/>
    <w:link w:val="747"/>
    <w:uiPriority w:val="9"/>
    <w:rPr>
      <w:rFonts w:ascii="Arial" w:hAnsi="Arial" w:eastAsia="Arial" w:cs="Arial"/>
      <w:b/>
      <w:bCs/>
      <w:sz w:val="22"/>
      <w:szCs w:val="22"/>
    </w:rPr>
  </w:style>
  <w:style w:type="character" w:styleId="794" w:customStyle="1">
    <w:name w:val="标题 7 字符"/>
    <w:link w:val="748"/>
    <w:uiPriority w:val="9"/>
    <w:rPr>
      <w:rFonts w:ascii="Arial" w:hAnsi="Arial" w:eastAsia="Arial" w:cs="Arial"/>
      <w:b/>
      <w:bCs/>
      <w:i/>
      <w:iCs/>
      <w:sz w:val="22"/>
      <w:szCs w:val="22"/>
    </w:rPr>
  </w:style>
  <w:style w:type="character" w:styleId="795" w:customStyle="1">
    <w:name w:val="标题 8 字符"/>
    <w:link w:val="749"/>
    <w:uiPriority w:val="9"/>
    <w:rPr>
      <w:rFonts w:ascii="Arial" w:hAnsi="Arial" w:eastAsia="Arial" w:cs="Arial"/>
      <w:i/>
      <w:iCs/>
      <w:sz w:val="22"/>
      <w:szCs w:val="22"/>
    </w:rPr>
  </w:style>
  <w:style w:type="character" w:styleId="796" w:customStyle="1">
    <w:name w:val="标题 9 字符"/>
    <w:link w:val="750"/>
    <w:uiPriority w:val="9"/>
    <w:rPr>
      <w:rFonts w:ascii="Arial" w:hAnsi="Arial" w:eastAsia="Arial" w:cs="Arial"/>
      <w:i/>
      <w:iCs/>
      <w:sz w:val="21"/>
      <w:szCs w:val="21"/>
    </w:rPr>
  </w:style>
  <w:style w:type="paragraph" w:styleId="797">
    <w:name w:val="No Spacing"/>
    <w:uiPriority w:val="1"/>
    <w:qFormat/>
  </w:style>
  <w:style w:type="character" w:styleId="798" w:customStyle="1">
    <w:name w:val="标题 字符"/>
    <w:link w:val="781"/>
    <w:uiPriority w:val="10"/>
    <w:rPr>
      <w:sz w:val="48"/>
      <w:szCs w:val="48"/>
    </w:rPr>
  </w:style>
  <w:style w:type="character" w:styleId="799" w:customStyle="1">
    <w:name w:val="副标题 字符"/>
    <w:link w:val="772"/>
    <w:uiPriority w:val="11"/>
    <w:qFormat/>
    <w:rPr>
      <w:sz w:val="24"/>
      <w:szCs w:val="24"/>
    </w:rPr>
  </w:style>
  <w:style w:type="paragraph" w:styleId="800">
    <w:name w:val="Quote"/>
    <w:basedOn w:val="741"/>
    <w:next w:val="741"/>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41"/>
    <w:next w:val="741"/>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rPr>
      <w:i/>
    </w:rPr>
  </w:style>
  <w:style w:type="character" w:styleId="804" w:customStyle="1">
    <w:name w:val="页眉 字符"/>
    <w:link w:val="769"/>
    <w:uiPriority w:val="99"/>
  </w:style>
  <w:style w:type="character" w:styleId="805" w:customStyle="1">
    <w:name w:val="Footer Char"/>
    <w:uiPriority w:val="99"/>
  </w:style>
  <w:style w:type="character" w:styleId="806" w:customStyle="1">
    <w:name w:val="页脚 字符"/>
    <w:link w:val="768"/>
    <w:uiPriority w:val="99"/>
  </w:style>
  <w:style w:type="table" w:styleId="80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0" w:customStyle="1">
    <w:name w:val="无格式表格 31"/>
    <w:uiPriority w:val="99"/>
    <w:tblPr>
      <w:tblCellMar>
        <w:left w:w="0" w:type="dxa"/>
        <w:top w:w="0" w:type="dxa"/>
        <w:right w:w="0" w:type="dxa"/>
        <w:bottom w:w="0" w:type="dxa"/>
      </w:tblCellMar>
    </w:tblPr>
  </w:style>
  <w:style w:type="table" w:styleId="811" w:customStyle="1">
    <w:name w:val="无格式表格 41"/>
    <w:uiPriority w:val="99"/>
    <w:tblPr>
      <w:tblCellMar>
        <w:left w:w="0" w:type="dxa"/>
        <w:top w:w="0" w:type="dxa"/>
        <w:right w:w="0" w:type="dxa"/>
        <w:bottom w:w="0" w:type="dxa"/>
      </w:tblCellMar>
    </w:tblPr>
  </w:style>
  <w:style w:type="table" w:styleId="812" w:customStyle="1">
    <w:name w:val="无格式表格 51"/>
    <w:uiPriority w:val="99"/>
    <w:qFormat/>
    <w:tblPr>
      <w:tblCellMar>
        <w:left w:w="0" w:type="dxa"/>
        <w:top w:w="0" w:type="dxa"/>
        <w:right w:w="0" w:type="dxa"/>
        <w:bottom w:w="0" w:type="dxa"/>
      </w:tblCellMar>
    </w:tblPr>
  </w:style>
  <w:style w:type="table" w:styleId="813"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5"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6"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7"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9"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0"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9"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5"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9"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清单表 1 浅色1"/>
    <w:uiPriority w:val="99"/>
    <w:tblPr>
      <w:tblCellMar>
        <w:left w:w="0" w:type="dxa"/>
        <w:top w:w="0" w:type="dxa"/>
        <w:right w:w="0" w:type="dxa"/>
        <w:bottom w:w="0" w:type="dxa"/>
      </w:tblCellMar>
    </w:tblPr>
  </w:style>
  <w:style w:type="table" w:styleId="863" w:customStyle="1">
    <w:name w:val="List Table 1 Light - Accent 1"/>
    <w:uiPriority w:val="99"/>
    <w:tblPr>
      <w:tblCellMar>
        <w:left w:w="0" w:type="dxa"/>
        <w:top w:w="0" w:type="dxa"/>
        <w:right w:w="0" w:type="dxa"/>
        <w:bottom w:w="0" w:type="dxa"/>
      </w:tblCellMar>
    </w:tblPr>
  </w:style>
  <w:style w:type="table" w:styleId="864" w:customStyle="1">
    <w:name w:val="List Table 1 Light - Accent 2"/>
    <w:uiPriority w:val="99"/>
    <w:tblPr>
      <w:tblCellMar>
        <w:left w:w="0" w:type="dxa"/>
        <w:top w:w="0" w:type="dxa"/>
        <w:right w:w="0" w:type="dxa"/>
        <w:bottom w:w="0" w:type="dxa"/>
      </w:tblCellMar>
    </w:tblPr>
  </w:style>
  <w:style w:type="table" w:styleId="865" w:customStyle="1">
    <w:name w:val="List Table 1 Light - Accent 3"/>
    <w:uiPriority w:val="99"/>
    <w:tblPr>
      <w:tblCellMar>
        <w:left w:w="0" w:type="dxa"/>
        <w:top w:w="0" w:type="dxa"/>
        <w:right w:w="0" w:type="dxa"/>
        <w:bottom w:w="0" w:type="dxa"/>
      </w:tblCellMar>
    </w:tblPr>
  </w:style>
  <w:style w:type="table" w:styleId="866" w:customStyle="1">
    <w:name w:val="List Table 1 Light - Accent 4"/>
    <w:uiPriority w:val="99"/>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tblPr>
      <w:tblCellMar>
        <w:left w:w="0" w:type="dxa"/>
        <w:top w:w="0" w:type="dxa"/>
        <w:right w:w="0" w:type="dxa"/>
        <w:bottom w:w="0" w:type="dxa"/>
      </w:tblCellMar>
    </w:tblPr>
  </w:style>
  <w:style w:type="table" w:styleId="86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0"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1"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rPr>
      <w:color w:val="404040"/>
    </w:rPr>
    <w:tblPr>
      <w:tblCellMar>
        <w:left w:w="0" w:type="dxa"/>
        <w:top w:w="0" w:type="dxa"/>
        <w:right w:w="0" w:type="dxa"/>
        <w:bottom w:w="0" w:type="dxa"/>
      </w:tblCellMar>
    </w:tblPr>
  </w:style>
  <w:style w:type="table" w:styleId="915" w:customStyle="1">
    <w:name w:val="Lined - Accent 4"/>
    <w:uiPriority w:val="99"/>
    <w:rPr>
      <w:color w:val="404040"/>
    </w:rPr>
    <w:tblPr>
      <w:tblCellMar>
        <w:left w:w="0" w:type="dxa"/>
        <w:top w:w="0" w:type="dxa"/>
        <w:right w:w="0" w:type="dxa"/>
        <w:bottom w:w="0" w:type="dxa"/>
      </w:tblCellMar>
    </w:tblPr>
  </w:style>
  <w:style w:type="table" w:styleId="916" w:customStyle="1">
    <w:name w:val="Lined - Accent 5"/>
    <w:uiPriority w:val="99"/>
    <w:rPr>
      <w:color w:val="404040"/>
    </w:rPr>
    <w:tblPr>
      <w:tblCellMar>
        <w:left w:w="0" w:type="dxa"/>
        <w:top w:w="0" w:type="dxa"/>
        <w:right w:w="0" w:type="dxa"/>
        <w:bottom w:w="0" w:type="dxa"/>
      </w:tblCellMar>
    </w:tblPr>
  </w:style>
  <w:style w:type="table" w:styleId="917" w:customStyle="1">
    <w:name w:val="Lined - Accent 6"/>
    <w:uiPriority w:val="99"/>
    <w:rPr>
      <w:color w:val="404040"/>
    </w:rPr>
    <w:tblPr>
      <w:tblCellMar>
        <w:left w:w="0" w:type="dxa"/>
        <w:top w:w="0" w:type="dxa"/>
        <w:right w:w="0" w:type="dxa"/>
        <w:bottom w:w="0" w:type="dxa"/>
      </w:tblCellMar>
    </w:tblPr>
  </w:style>
  <w:style w:type="table" w:styleId="91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73"/>
    <w:uiPriority w:val="99"/>
    <w:rPr>
      <w:sz w:val="18"/>
    </w:rPr>
  </w:style>
  <w:style w:type="character" w:styleId="933" w:customStyle="1">
    <w:name w:val="尾注文本 字符"/>
    <w:link w:val="766"/>
    <w:uiPriority w:val="99"/>
    <w:rPr>
      <w:sz w:val="20"/>
    </w:rPr>
  </w:style>
  <w:style w:type="paragraph" w:styleId="934" w:customStyle="1">
    <w:name w:val="TOC 标题1"/>
    <w:uiPriority w:val="39"/>
    <w:unhideWhenUsed/>
  </w:style>
  <w:style w:type="character" w:styleId="935" w:customStyle="1">
    <w:name w:val="批注框文本 字符"/>
    <w:link w:val="767"/>
    <w:qFormat/>
    <w:rPr>
      <w:sz w:val="18"/>
      <w:szCs w:val="18"/>
    </w:rPr>
  </w:style>
  <w:style w:type="paragraph" w:styleId="936" w:customStyle="1">
    <w:name w:val="目录 11"/>
    <w:basedOn w:val="741"/>
    <w:next w:val="741"/>
    <w:uiPriority w:val="39"/>
    <w:unhideWhenUsed/>
    <w:qFormat/>
  </w:style>
  <w:style w:type="paragraph" w:styleId="937" w:customStyle="1">
    <w:name w:val="正文首行缩进 211"/>
    <w:basedOn w:val="759"/>
    <w:next w:val="741"/>
    <w:qFormat/>
    <w:pPr>
      <w:ind w:firstLine="420"/>
      <w:spacing w:before="100" w:beforeAutospacing="1"/>
    </w:pPr>
    <w:rPr>
      <w:rFonts w:ascii="Times New Roman" w:hAnsi="Times New Roman"/>
      <w:sz w:val="20"/>
      <w:szCs w:val="21"/>
    </w:rPr>
  </w:style>
  <w:style w:type="paragraph" w:styleId="938" w:customStyle="1">
    <w:name w:val="正文1"/>
    <w:basedOn w:val="741"/>
    <w:next w:val="939"/>
    <w:qFormat/>
    <w:pPr>
      <w:jc w:val="left"/>
      <w:spacing w:line="360" w:lineRule="atLeast"/>
    </w:pPr>
    <w:rPr>
      <w:rFonts w:ascii="宋体"/>
      <w:sz w:val="24"/>
      <w:szCs w:val="20"/>
    </w:rPr>
  </w:style>
  <w:style w:type="paragraph" w:styleId="939" w:customStyle="1">
    <w:name w:val="正文文本1"/>
    <w:basedOn w:val="938"/>
    <w:next w:val="940"/>
    <w:qFormat/>
    <w:pPr>
      <w:spacing w:after="120"/>
    </w:pPr>
    <w:rPr>
      <w:lang w:eastAsia="en-US"/>
    </w:rPr>
  </w:style>
  <w:style w:type="paragraph" w:styleId="940" w:customStyle="1">
    <w:name w:val="一级条标题"/>
    <w:basedOn w:val="941"/>
    <w:next w:val="942"/>
    <w:qFormat/>
    <w:pPr>
      <w:ind w:left="907" w:hanging="907"/>
      <w:spacing w:before="0" w:after="0"/>
      <w:tabs>
        <w:tab w:val="left" w:pos="907" w:leader="none"/>
      </w:tabs>
      <w:outlineLvl w:val="2"/>
    </w:pPr>
    <w:rPr>
      <w:rFonts w:hAnsi="宋体"/>
      <w:sz w:val="20"/>
      <w:szCs w:val="20"/>
    </w:rPr>
  </w:style>
  <w:style w:type="paragraph" w:styleId="941" w:customStyle="1">
    <w:name w:val="章标题"/>
    <w:next w:val="74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2" w:customStyle="1">
    <w:name w:val="段"/>
    <w:basedOn w:val="938"/>
    <w:next w:val="741"/>
    <w:qFormat/>
    <w:pPr>
      <w:ind w:firstLine="200"/>
      <w:widowControl/>
    </w:pPr>
    <w:rPr>
      <w:sz w:val="20"/>
    </w:rPr>
  </w:style>
  <w:style w:type="paragraph" w:styleId="943" w:customStyle="1">
    <w:name w:val="正文（缩进）"/>
    <w:basedOn w:val="741"/>
    <w:qFormat/>
    <w:pPr>
      <w:ind w:firstLine="480"/>
      <w:spacing w:before="156" w:after="156"/>
    </w:pPr>
  </w:style>
  <w:style w:type="paragraph" w:styleId="944" w:customStyle="1">
    <w:name w:val="普通正文"/>
    <w:basedOn w:val="741"/>
    <w:qFormat/>
    <w:pPr>
      <w:ind w:firstLine="480"/>
      <w:jc w:val="left"/>
      <w:spacing w:before="120" w:after="120" w:line="360" w:lineRule="auto"/>
    </w:pPr>
    <w:rPr>
      <w:rFonts w:ascii="Arial" w:hAnsi="Arial"/>
      <w:sz w:val="24"/>
      <w:szCs w:val="24"/>
    </w:rPr>
  </w:style>
  <w:style w:type="paragraph" w:styleId="945" w:customStyle="1">
    <w:name w:val="Char"/>
    <w:basedOn w:val="741"/>
    <w:qFormat/>
    <w:pPr>
      <w:ind w:firstLine="200"/>
      <w:tabs>
        <w:tab w:val="left" w:pos="360" w:leader="none"/>
      </w:tabs>
    </w:pPr>
    <w:rPr>
      <w:rFonts w:ascii="Times New Roman" w:hAnsi="Times New Roman"/>
      <w:sz w:val="28"/>
      <w:szCs w:val="30"/>
    </w:rPr>
  </w:style>
  <w:style w:type="paragraph" w:styleId="946" w:customStyle="1">
    <w:name w:val="正文空2格  1."/>
    <w:basedOn w:val="741"/>
    <w:qFormat/>
    <w:pPr>
      <w:ind w:firstLine="480"/>
    </w:pPr>
    <w:rPr>
      <w:rFonts w:cs="宋体"/>
      <w:sz w:val="28"/>
      <w:szCs w:val="20"/>
    </w:rPr>
  </w:style>
  <w:style w:type="paragraph" w:styleId="947" w:customStyle="1">
    <w:name w:val="Default"/>
    <w:qFormat/>
    <w:pPr>
      <w:widowControl w:val="off"/>
    </w:pPr>
    <w:rPr>
      <w:rFonts w:ascii="黑体" w:eastAsia="黑体"/>
    </w:rPr>
  </w:style>
  <w:style w:type="paragraph" w:styleId="948">
    <w:name w:val="List Paragraph"/>
    <w:basedOn w:val="741"/>
    <w:uiPriority w:val="34"/>
    <w:qFormat/>
    <w:pPr>
      <w:ind w:firstLine="420"/>
    </w:pPr>
  </w:style>
  <w:style w:type="paragraph" w:styleId="949" w:customStyle="1">
    <w:name w:val="正文首行缩进 21"/>
    <w:basedOn w:val="950"/>
    <w:qFormat/>
    <w:pPr>
      <w:ind w:left="420" w:firstLine="420"/>
      <w:spacing w:after="120"/>
    </w:pPr>
    <w:rPr>
      <w:sz w:val="20"/>
      <w:szCs w:val="24"/>
    </w:rPr>
  </w:style>
  <w:style w:type="paragraph" w:styleId="950" w:customStyle="1">
    <w:name w:val="正文文本缩进1"/>
    <w:basedOn w:val="741"/>
    <w:next w:val="951"/>
    <w:uiPriority w:val="99"/>
    <w:unhideWhenUsed/>
    <w:qFormat/>
    <w:pPr>
      <w:ind w:firstLine="540"/>
      <w:spacing w:line="400" w:lineRule="exact"/>
    </w:pPr>
    <w:rPr>
      <w:sz w:val="24"/>
    </w:rPr>
  </w:style>
  <w:style w:type="paragraph" w:styleId="951" w:customStyle="1">
    <w:name w:val="寄信人地址1"/>
    <w:basedOn w:val="741"/>
    <w:uiPriority w:val="99"/>
    <w:unhideWhenUsed/>
    <w:qFormat/>
    <w:rPr>
      <w:rFonts w:ascii="Arial" w:hAnsi="Arial"/>
    </w:rPr>
  </w:style>
  <w:style w:type="paragraph" w:styleId="952" w:customStyle="1">
    <w:name w:val="Table Paragraph"/>
    <w:basedOn w:val="741"/>
    <w:uiPriority w:val="1"/>
    <w:qFormat/>
  </w:style>
  <w:style w:type="paragraph" w:styleId="953" w:customStyle="1">
    <w:name w:val="列出段落1"/>
    <w:qFormat/>
    <w:pPr>
      <w:ind w:left="720" w:firstLine="360"/>
    </w:pPr>
    <w:rPr>
      <w:rFonts w:ascii="Calibri" w:hAnsi="Calibri"/>
      <w:sz w:val="22"/>
      <w:szCs w:val="22"/>
      <w:lang w:eastAsia="en-US"/>
    </w:rPr>
  </w:style>
  <w:style w:type="character" w:styleId="954" w:customStyle="1">
    <w:name w:val="纯文本 字符"/>
    <w:link w:val="763"/>
    <w:uiPriority w:val="99"/>
    <w:rPr>
      <w:rFonts w:ascii="宋体" w:hAnsi="Courier New"/>
      <w:szCs w:val="21"/>
    </w:rPr>
  </w:style>
  <w:style w:type="paragraph" w:styleId="955">
    <w:name w:val="Body Text First Indent 2"/>
    <w:basedOn w:val="759"/>
    <w:link w:val="957"/>
    <w:uiPriority w:val="99"/>
    <w:semiHidden/>
    <w:unhideWhenUsed/>
    <w:pPr>
      <w:ind w:left="420" w:firstLine="420"/>
      <w:spacing w:after="120" w:line="240" w:lineRule="auto"/>
    </w:pPr>
    <w:rPr>
      <w:sz w:val="21"/>
    </w:rPr>
  </w:style>
  <w:style w:type="character" w:styleId="956" w:customStyle="1">
    <w:name w:val="正文文本缩进 字符"/>
    <w:basedOn w:val="751"/>
    <w:link w:val="759"/>
    <w:uiPriority w:val="99"/>
    <w:rPr>
      <w:rFonts w:ascii="Calibri" w:hAnsi="Calibri"/>
      <w:sz w:val="24"/>
      <w:szCs w:val="22"/>
    </w:rPr>
  </w:style>
  <w:style w:type="character" w:styleId="957" w:customStyle="1">
    <w:name w:val="正文文本首行缩进 2 字符"/>
    <w:basedOn w:val="956"/>
    <w:link w:val="955"/>
    <w:uiPriority w:val="99"/>
    <w:semiHidden/>
    <w:rPr>
      <w:rFonts w:ascii="Calibri" w:hAnsi="Calibri"/>
      <w:sz w:val="21"/>
      <w:szCs w:val="22"/>
    </w:rPr>
  </w:style>
  <w:style w:type="table" w:styleId="958" w:customStyle="1">
    <w:name w:val="网格型1"/>
    <w:basedOn w:val="752"/>
    <w:next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9" w:customStyle="1">
    <w:name w:val="正文111"/>
    <w:next w:val="741"/>
    <w:qFormat/>
    <w:pPr>
      <w:jc w:val="both"/>
      <w:widowControl w:val="off"/>
    </w:pPr>
    <w:rPr>
      <w:sz w:val="21"/>
      <w:szCs w:val="24"/>
    </w:rPr>
  </w:style>
  <w:style w:type="paragraph" w:styleId="960" w:customStyle="1">
    <w:name w:val="正文12"/>
    <w:next w:val="741"/>
    <w:qFormat/>
    <w:pPr>
      <w:jc w:val="both"/>
      <w:widowControl w:val="off"/>
    </w:pPr>
    <w:rPr>
      <w:sz w:val="21"/>
      <w:szCs w:val="24"/>
    </w:rPr>
  </w:style>
  <w:style w:type="character" w:styleId="961" w:customStyle="1">
    <w:name w:val="正文文本 字符"/>
    <w:basedOn w:val="751"/>
    <w:link w:val="758"/>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7437155-F8FE-4F1D-8E93-3CF125CC1E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dc:creator>
  <cp:lastModifiedBy>扬州市科达（江都）</cp:lastModifiedBy>
  <cp:revision>1460</cp:revision>
  <dcterms:created xsi:type="dcterms:W3CDTF">2023-12-28T09:31:00Z</dcterms:created>
  <dcterms:modified xsi:type="dcterms:W3CDTF">2025-11-24T06:36:47Z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80311AF880844735A60038291930EFAF_13</vt:lpwstr>
  </property>
</Properties>
</file>